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E2" w:rsidRPr="00184CE2" w:rsidRDefault="00184CE2" w:rsidP="00184CE2">
      <w:pPr>
        <w:widowControl/>
        <w:spacing w:line="450" w:lineRule="atLeast"/>
        <w:jc w:val="center"/>
        <w:outlineLvl w:val="0"/>
        <w:rPr>
          <w:rFonts w:ascii="Microsoft Yahei" w:eastAsia="宋体" w:hAnsi="Microsoft Yahei" w:cs="宋体"/>
          <w:kern w:val="36"/>
          <w:sz w:val="27"/>
          <w:szCs w:val="27"/>
        </w:rPr>
      </w:pPr>
      <w:r w:rsidRPr="00184CE2">
        <w:rPr>
          <w:rFonts w:ascii="Microsoft Yahei" w:eastAsia="宋体" w:hAnsi="Microsoft Yahei" w:cs="宋体"/>
          <w:kern w:val="36"/>
          <w:sz w:val="27"/>
          <w:szCs w:val="27"/>
        </w:rPr>
        <w:t>林学与风景园林学院</w:t>
      </w:r>
      <w:r w:rsidRPr="00184CE2">
        <w:rPr>
          <w:rFonts w:ascii="Microsoft Yahei" w:eastAsia="宋体" w:hAnsi="Microsoft Yahei" w:cs="宋体"/>
          <w:kern w:val="36"/>
          <w:sz w:val="27"/>
          <w:szCs w:val="27"/>
        </w:rPr>
        <w:t>2019</w:t>
      </w:r>
      <w:r w:rsidRPr="00184CE2">
        <w:rPr>
          <w:rFonts w:ascii="Microsoft Yahei" w:eastAsia="宋体" w:hAnsi="Microsoft Yahei" w:cs="宋体"/>
          <w:kern w:val="36"/>
          <w:sz w:val="27"/>
          <w:szCs w:val="27"/>
        </w:rPr>
        <w:t>年硕士研究生招生复试及录取工作方案</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复试是硕士研究生招生考试的重要组成部分和招生录取的必要环节，依据教育部有关文件及华南农业大学2019年硕士研究生招生复试及录取工作规定精神，结合学院实际，特制定林学与风景园林学院2019年硕士研究生招生复试及录取工作方案，具体如下：</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一、基本原则</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1.坚持“政策透明、程序公正、结果公开、监督到位”的原则。</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2.坚持科学选拔原则，遵循高层次人才选拔规律，采用多形式的考核方法综合考查，突出对考生专业素质、实践能力及创新精神等方面的考核，确保录取生源质量。</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3.坚持以人为本原则，将维护考生利益作为复试录取工作的出发点和落脚点，增强服务意识，提高管理水平，严肃、认真、规范、高效的组织复试录取工作。</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4.信息公开。学院严格按照规定准确、规范、充分、及时公开招生复试和录取信息，并按照“谁公开、谁把关”，“谁公开、谁解释”的原则，做好对所公开信息的审核把关和解释说明工作。</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5.差额复试，复试考生人数与招生规模（招生计划数减去推荐免试生数）比例一般不低于120%，但一般不得大于150%。</w:t>
      </w:r>
      <w:r w:rsidRPr="00184CE2">
        <w:rPr>
          <w:rFonts w:ascii="仿宋" w:eastAsia="仿宋" w:hAnsi="仿宋" w:cs="宋体" w:hint="eastAsia"/>
          <w:b/>
          <w:bCs/>
          <w:color w:val="000000"/>
          <w:kern w:val="0"/>
          <w:sz w:val="29"/>
        </w:rPr>
        <w:t>调剂考生复试比例可以适当扩大。</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二、复试组织与管理</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1.学院成立研究生招生工作领导小组，由院长任组长，学院党委书记及分管研究生教育工作的副院长任副组长，其他成员由学院</w:t>
      </w:r>
      <w:r w:rsidRPr="00184CE2">
        <w:rPr>
          <w:rFonts w:ascii="仿宋" w:eastAsia="仿宋" w:hAnsi="仿宋" w:cs="宋体" w:hint="eastAsia"/>
          <w:color w:val="000000"/>
          <w:kern w:val="0"/>
          <w:sz w:val="29"/>
          <w:szCs w:val="29"/>
        </w:rPr>
        <w:lastRenderedPageBreak/>
        <w:t>党政班子成员、学院纪检委员、一级学科专业负责人和二级学科专业负责人组成。学院研究生招生工作领导小组全面负责本学院研究生招生工作，负责对所有人员进行政策、业务、纪律等方面的培训，使其明确工作纪律和工作程序、评判规则和评判标准。负责制订本学院复试工作的具体方案并组织实施、组织本单位的复试具体工作、审核复试记录与结果，上报复试成绩和复试材料，并负责解释本学院的复试结果。</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学院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1名（记录员），负责复试记录和协调安排有关事宜。</w:t>
      </w:r>
    </w:p>
    <w:p w:rsidR="00184CE2" w:rsidRPr="00184CE2" w:rsidRDefault="00184CE2" w:rsidP="00184CE2">
      <w:pPr>
        <w:widowControl/>
        <w:shd w:val="clear" w:color="auto" w:fill="EEEEEE"/>
        <w:wordWrap w:val="0"/>
        <w:spacing w:line="315" w:lineRule="atLeast"/>
        <w:ind w:firstLine="420"/>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的评分记录和考生作答情况等原始材料整理完整连同录音录像交学院统一交研究生招生办公室。</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三、复试内容与形式</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复试重点考查考生的专业基础知识、综合分析和解决实际问题的能力、创新能力、外语应用能力及本科学习的课程与成绩等，以</w:t>
      </w:r>
      <w:r w:rsidRPr="00184CE2">
        <w:rPr>
          <w:rFonts w:ascii="仿宋" w:eastAsia="仿宋" w:hAnsi="仿宋" w:cs="宋体" w:hint="eastAsia"/>
          <w:color w:val="000000"/>
          <w:kern w:val="0"/>
          <w:sz w:val="29"/>
          <w:szCs w:val="29"/>
        </w:rPr>
        <w:lastRenderedPageBreak/>
        <w:t>及政治思想、道德品质、心理素质、人文素质、举止礼仪、表达能力等。</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复试内容包括外语水平测试、专业素质及能力考核、综合素质及能力考核三个部分，总成绩为100分。</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1.外语能力测试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外语听说、阅读理解能力测试时间为3-5分钟左右，满分为30分。</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2.专业素质及能力考核</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专业素质及能力考核满分40分，主要包括以下几个方面：</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（1）大学阶段学习情况及成绩；</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（2）全面考核考生对本学科（专业）理论知识和应用技能的掌握程度，利用所学理论发现、分析和解决问题的能力，对本学科发展动态的了解以及在本专业领域发展的潜力；</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（3）创新精神和创新能力。</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（4）风景园林（设计方向）含闭卷笔试。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3.综合素质及能力考核</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综合素质及能力考核满分30分，主要包括以下几个方面：</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（1）思想政治素质和道德品质等；</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（2）本学科（专业）以外的学习、科研、社会实践（包括学生工作、社团活动、志愿服务等）或实际工作等方面的经历；</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（3）事业心和责任感，纪律性（遵纪守法）、协作性和心理健康；</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lastRenderedPageBreak/>
        <w:t>（4）人文素质；</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（5）举止、礼仪和表达能力等。</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每位考生面试时间一般不少于10分钟。面试时由每位专家现场独立评分，然后取算术平均值得出。</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Verdana" w:eastAsia="宋体" w:hAnsi="Verdana" w:cs="宋体"/>
          <w:color w:val="000000"/>
          <w:kern w:val="0"/>
          <w:szCs w:val="21"/>
        </w:rPr>
        <w:t>  </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四、成绩计算</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1.复试成绩：</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外语能力测试、专业素质能力考核和综合素质能力考核复试总成绩为100分，占比分别为30%、40%、30%，计算得出考生复试成绩。</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2.综合成绩：</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由考生初试总成绩和复试成绩计算得出综合成绩。计算方法为：综合成绩＝（初试总成绩/5）×50%＋复试成绩×50%。</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五、体格检查</w:t>
      </w:r>
    </w:p>
    <w:p w:rsidR="00184CE2" w:rsidRPr="00184CE2" w:rsidRDefault="00184CE2" w:rsidP="00184CE2">
      <w:pPr>
        <w:widowControl/>
        <w:shd w:val="clear" w:color="auto" w:fill="EEEEEE"/>
        <w:wordWrap w:val="0"/>
        <w:spacing w:line="315" w:lineRule="atLeast"/>
        <w:ind w:firstLine="420"/>
        <w:jc w:val="left"/>
        <w:rPr>
          <w:rFonts w:ascii="Verdana" w:eastAsia="宋体" w:hAnsi="Verdana" w:cs="宋体"/>
          <w:color w:val="000000"/>
          <w:kern w:val="0"/>
          <w:szCs w:val="21"/>
        </w:rPr>
      </w:pPr>
      <w:r w:rsidRPr="00184CE2">
        <w:rPr>
          <w:rFonts w:ascii="仿宋" w:eastAsia="仿宋" w:hAnsi="仿宋" w:cs="宋体" w:hint="eastAsia"/>
          <w:color w:val="333333"/>
          <w:kern w:val="0"/>
          <w:sz w:val="29"/>
          <w:szCs w:val="29"/>
        </w:rPr>
        <w:t>复试考生必须按学校医院规定进行体检或者提供半年内三级甲等医院体检报告（已参加本校毕业生体检的华南农业大学应届生不再体检）。体检项目为：肝功能2项（ALT、AST）、胸部X光检查、内外科、视力、辨色力、血压。</w:t>
      </w:r>
    </w:p>
    <w:p w:rsidR="00184CE2" w:rsidRPr="00184CE2" w:rsidRDefault="00184CE2" w:rsidP="00184CE2">
      <w:pPr>
        <w:widowControl/>
        <w:shd w:val="clear" w:color="auto" w:fill="EEEEEE"/>
        <w:wordWrap w:val="0"/>
        <w:spacing w:line="315" w:lineRule="atLeast"/>
        <w:ind w:firstLine="420"/>
        <w:jc w:val="left"/>
        <w:rPr>
          <w:rFonts w:ascii="Verdana" w:eastAsia="宋体" w:hAnsi="Verdana" w:cs="宋体"/>
          <w:color w:val="000000"/>
          <w:kern w:val="0"/>
          <w:szCs w:val="21"/>
        </w:rPr>
      </w:pPr>
      <w:r w:rsidRPr="00184CE2">
        <w:rPr>
          <w:rFonts w:ascii="仿宋" w:eastAsia="仿宋" w:hAnsi="仿宋" w:cs="宋体" w:hint="eastAsia"/>
          <w:color w:val="333333"/>
          <w:kern w:val="0"/>
          <w:sz w:val="29"/>
          <w:szCs w:val="29"/>
        </w:rPr>
        <w:t>参加学校医院体检时间为3月27、28日，4月1、4、8、11日工作日(上午8：00-11：30，下午2：30-5：00)。</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333333"/>
          <w:kern w:val="0"/>
          <w:sz w:val="29"/>
          <w:szCs w:val="29"/>
        </w:rPr>
        <w:t>体检结果不作量化计入总成绩，但不体检或体检不合格者一律不予录取。</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六、特殊考生复试特别要求：</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lastRenderedPageBreak/>
        <w:t>推荐免试考生：因推荐阶段已经复试，因此不再需要复试。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七、复试安排、资格审查及材料要求</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1.复试安排：详见学院网页（3月27日开始）。</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2.资格审查及材料要求：</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复试考生于规定的复试时间报到并进行资格审查，需提交相关材料复印件，对不符合规定者，不予复试。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须查验和收集的材料如下：</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（1）往届生查验身份证、学位证、学历证原件，收复印件；</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（2）应届生查验身份证、学生证原件，收复印件；</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（3）收本科课程成绩单原件（复印件盖档案管理部门公章后视同原件）；</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（4）忘记带材料或材料不齐的考生，务必于4月10号前交到学院603办公室，没有材料的不录取；</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（5）“退役大学生士兵计划”考生需提供退役证明材料；</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（6）需要收取其他材料的考生会另外说明。</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八、录取原则</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1.复试成绩不及格者不予录取（低于60分为不及格）。</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2.各招生专业按考生综合成绩从高到低排序，按全日制与非全日制两类，其中全日制考生按学术型和专业学位两类，按照考生综合成绩从高到低分别确定拟录取名单。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3.调剂考生与第一志愿报考我校的考生分别复试及排序，先录取复试合格的一志愿考生,再录取调剂考生。</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lastRenderedPageBreak/>
        <w:t>4.录取时按照考生总成绩从高到低进行名次排序，若总成绩相同，按照复试成绩从高到低排序，调剂考生可根据复试批次，分批次排名，分批次录取。</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5.单独考试考生和退役大学生士兵专项计划考生单独排序录取。</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6.思想政治素质和道德品质考核及体检不作量化计入总成绩，但考核结果不合格者不予录取；同等学力考生加试课程的成绩不计入复试成绩，但不合格者不予录取。</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7.拟录取考生名单确定后，学院将组织拟录取考生和导师进行师生互选。</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九、监督和复议</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1.实行责任制度和责任追究制度。学院领导小组对本院复试过程的公平、公正和复试结果全面负责。</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2.实行监督制度和巡视制度。学院领导小组要对本院考生的复试、录取工作进行监督，当考生对复试提出书面质疑时，学院领导小组要提供书面说明，负责向考生进行解释或提出解决办法。</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3.实行复议制度。要保证投诉、申诉和监督渠道的畅通。受理投诉和申诉应在15日内做出回复。</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监督电话：学院</w:t>
      </w:r>
      <w:r w:rsidRPr="00184CE2">
        <w:rPr>
          <w:rFonts w:ascii="宋体" w:eastAsia="宋体" w:hAnsi="宋体" w:cs="宋体" w:hint="eastAsia"/>
          <w:color w:val="000000"/>
          <w:kern w:val="0"/>
          <w:sz w:val="29"/>
          <w:szCs w:val="29"/>
        </w:rPr>
        <w:t> </w:t>
      </w:r>
      <w:r w:rsidRPr="00184CE2">
        <w:rPr>
          <w:rFonts w:ascii="仿宋" w:eastAsia="仿宋" w:hAnsi="仿宋" w:cs="仿宋" w:hint="eastAsia"/>
          <w:color w:val="000000"/>
          <w:kern w:val="0"/>
          <w:sz w:val="29"/>
          <w:szCs w:val="29"/>
        </w:rPr>
        <w:t>020-85280256</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电子信箱：seven@scau.edu.cn</w:t>
      </w:r>
    </w:p>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仿宋" w:eastAsia="仿宋" w:hAnsi="仿宋" w:cs="宋体" w:hint="eastAsia"/>
          <w:b/>
          <w:bCs/>
          <w:color w:val="000000"/>
          <w:kern w:val="0"/>
          <w:sz w:val="29"/>
        </w:rPr>
        <w:t>未尽事宜，按照《华南农业大学2019年硕士研究生招生复试及录取工作规定》执行。</w:t>
      </w:r>
    </w:p>
    <w:p w:rsidR="00184CE2" w:rsidRPr="00184CE2" w:rsidRDefault="00184CE2" w:rsidP="00184CE2">
      <w:pPr>
        <w:widowControl/>
        <w:wordWrap w:val="0"/>
        <w:spacing w:line="330" w:lineRule="atLeast"/>
        <w:jc w:val="left"/>
        <w:rPr>
          <w:rFonts w:ascii="Verdana" w:eastAsia="宋体" w:hAnsi="Verdana" w:cs="宋体"/>
          <w:kern w:val="0"/>
          <w:sz w:val="24"/>
          <w:szCs w:val="24"/>
        </w:rPr>
      </w:pPr>
      <w:r w:rsidRPr="00184CE2">
        <w:rPr>
          <w:rFonts w:ascii="仿宋" w:eastAsia="仿宋" w:hAnsi="仿宋" w:cs="宋体" w:hint="eastAsia"/>
          <w:b/>
          <w:bCs/>
          <w:color w:val="000000"/>
          <w:kern w:val="0"/>
          <w:sz w:val="29"/>
          <w:szCs w:val="29"/>
          <w:shd w:val="clear" w:color="auto" w:fill="EEEEEE"/>
        </w:rPr>
        <w:lastRenderedPageBreak/>
        <w:br w:type="textWrapping" w:clear="all"/>
      </w:r>
    </w:p>
    <w:p w:rsidR="00184CE2" w:rsidRPr="00184CE2" w:rsidRDefault="00184CE2" w:rsidP="00184CE2">
      <w:pPr>
        <w:widowControl/>
        <w:shd w:val="clear" w:color="auto" w:fill="FFFFFF"/>
        <w:wordWrap w:val="0"/>
        <w:spacing w:line="315" w:lineRule="atLeast"/>
        <w:ind w:right="225"/>
        <w:jc w:val="lef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附：各专业拟招生人数</w:t>
      </w:r>
      <w:r w:rsidRPr="00184CE2">
        <w:rPr>
          <w:rFonts w:ascii="仿宋" w:eastAsia="仿宋" w:hAnsi="仿宋" w:cs="宋体" w:hint="eastAsia"/>
          <w:b/>
          <w:bCs/>
          <w:color w:val="000000"/>
          <w:kern w:val="0"/>
          <w:sz w:val="29"/>
        </w:rPr>
        <w:t>（不含推免生，可能根据实际情况微调）</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2160"/>
      </w:tblGrid>
      <w:tr w:rsidR="00184CE2" w:rsidRPr="00184CE2" w:rsidTr="00184CE2">
        <w:trPr>
          <w:trHeight w:val="567"/>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学硕招生专业</w:t>
            </w:r>
          </w:p>
        </w:tc>
        <w:tc>
          <w:tcPr>
            <w:tcW w:w="21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招生计划数</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风景园林学</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2</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观赏园艺学</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7</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林木遗传育种</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9</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森林培育</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3</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生态学</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1</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森林保护</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3</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森林经理</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1</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植物学</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1</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野保</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0</w:t>
            </w:r>
          </w:p>
        </w:tc>
      </w:tr>
      <w:tr w:rsidR="00184CE2" w:rsidRPr="00184CE2" w:rsidTr="00184CE2">
        <w:trPr>
          <w:trHeight w:val="567"/>
          <w:jc w:val="center"/>
        </w:trPr>
        <w:tc>
          <w:tcPr>
            <w:tcW w:w="220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草业科学</w:t>
            </w:r>
          </w:p>
        </w:tc>
        <w:tc>
          <w:tcPr>
            <w:tcW w:w="21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184CE2" w:rsidRPr="00184CE2" w:rsidRDefault="00184CE2" w:rsidP="00184CE2">
            <w:pPr>
              <w:widowControl/>
              <w:shd w:val="clear" w:color="auto" w:fill="FFFFFF"/>
              <w:spacing w:line="315" w:lineRule="atLeast"/>
              <w:ind w:right="225"/>
              <w:jc w:val="left"/>
              <w:rPr>
                <w:rFonts w:ascii="宋体" w:eastAsia="宋体" w:hAnsi="宋体" w:cs="宋体"/>
                <w:kern w:val="0"/>
                <w:szCs w:val="21"/>
              </w:rPr>
            </w:pPr>
            <w:r w:rsidRPr="00184CE2">
              <w:rPr>
                <w:rFonts w:ascii="仿宋" w:eastAsia="仿宋" w:hAnsi="仿宋" w:cs="宋体" w:hint="eastAsia"/>
                <w:color w:val="000000"/>
                <w:kern w:val="0"/>
                <w:sz w:val="29"/>
                <w:szCs w:val="29"/>
              </w:rPr>
              <w:t>1</w:t>
            </w:r>
          </w:p>
        </w:tc>
      </w:tr>
    </w:tbl>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Verdana" w:eastAsia="宋体" w:hAnsi="Verdana" w:cs="宋体"/>
          <w:color w:val="000000"/>
          <w:kern w:val="0"/>
          <w:szCs w:val="21"/>
        </w:rPr>
        <w:t>  </w:t>
      </w:r>
    </w:p>
    <w:tbl>
      <w:tblPr>
        <w:tblW w:w="6615" w:type="dxa"/>
        <w:jc w:val="center"/>
        <w:tblCellMar>
          <w:left w:w="0" w:type="dxa"/>
          <w:right w:w="0" w:type="dxa"/>
        </w:tblCellMar>
        <w:tblLook w:val="04A0"/>
      </w:tblPr>
      <w:tblGrid>
        <w:gridCol w:w="4620"/>
        <w:gridCol w:w="1995"/>
      </w:tblGrid>
      <w:tr w:rsidR="00184CE2" w:rsidRPr="00184CE2" w:rsidTr="00184CE2">
        <w:trPr>
          <w:trHeight w:val="495"/>
          <w:jc w:val="center"/>
        </w:trPr>
        <w:tc>
          <w:tcPr>
            <w:tcW w:w="46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专硕招生专业</w:t>
            </w:r>
          </w:p>
        </w:tc>
        <w:tc>
          <w:tcPr>
            <w:tcW w:w="199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招生计划数</w:t>
            </w:r>
          </w:p>
        </w:tc>
      </w:tr>
      <w:tr w:rsidR="00184CE2" w:rsidRPr="00184CE2" w:rsidTr="00184CE2">
        <w:trPr>
          <w:trHeight w:val="495"/>
          <w:jc w:val="center"/>
        </w:trPr>
        <w:tc>
          <w:tcPr>
            <w:tcW w:w="46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left"/>
              <w:rPr>
                <w:rFonts w:ascii="宋体" w:eastAsia="宋体" w:hAnsi="宋体" w:cs="宋体"/>
                <w:kern w:val="0"/>
                <w:szCs w:val="21"/>
              </w:rPr>
            </w:pPr>
            <w:r w:rsidRPr="00184CE2">
              <w:rPr>
                <w:rFonts w:ascii="仿宋" w:eastAsia="仿宋" w:hAnsi="仿宋" w:cs="宋体" w:hint="eastAsia"/>
                <w:color w:val="000000"/>
                <w:kern w:val="0"/>
                <w:sz w:val="29"/>
                <w:szCs w:val="29"/>
              </w:rPr>
              <w:t>风景园林（规划与设计）</w:t>
            </w:r>
          </w:p>
        </w:tc>
        <w:tc>
          <w:tcPr>
            <w:tcW w:w="19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15</w:t>
            </w:r>
          </w:p>
        </w:tc>
      </w:tr>
      <w:tr w:rsidR="00184CE2" w:rsidRPr="00184CE2" w:rsidTr="00184CE2">
        <w:trPr>
          <w:trHeight w:val="495"/>
          <w:jc w:val="center"/>
        </w:trPr>
        <w:tc>
          <w:tcPr>
            <w:tcW w:w="46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left"/>
              <w:rPr>
                <w:rFonts w:ascii="宋体" w:eastAsia="宋体" w:hAnsi="宋体" w:cs="宋体"/>
                <w:kern w:val="0"/>
                <w:szCs w:val="21"/>
              </w:rPr>
            </w:pPr>
            <w:r w:rsidRPr="00184CE2">
              <w:rPr>
                <w:rFonts w:ascii="仿宋" w:eastAsia="仿宋" w:hAnsi="仿宋" w:cs="宋体" w:hint="eastAsia"/>
                <w:color w:val="000000"/>
                <w:kern w:val="0"/>
                <w:sz w:val="29"/>
                <w:szCs w:val="29"/>
              </w:rPr>
              <w:t>风景园林（园林植物与城市绿化）</w:t>
            </w:r>
          </w:p>
        </w:tc>
        <w:tc>
          <w:tcPr>
            <w:tcW w:w="19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19</w:t>
            </w:r>
          </w:p>
        </w:tc>
      </w:tr>
      <w:tr w:rsidR="00184CE2" w:rsidRPr="00184CE2" w:rsidTr="00184CE2">
        <w:trPr>
          <w:trHeight w:val="495"/>
          <w:jc w:val="center"/>
        </w:trPr>
        <w:tc>
          <w:tcPr>
            <w:tcW w:w="46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left"/>
              <w:rPr>
                <w:rFonts w:ascii="宋体" w:eastAsia="宋体" w:hAnsi="宋体" w:cs="宋体"/>
                <w:kern w:val="0"/>
                <w:szCs w:val="21"/>
              </w:rPr>
            </w:pPr>
            <w:r w:rsidRPr="00184CE2">
              <w:rPr>
                <w:rFonts w:ascii="仿宋" w:eastAsia="仿宋" w:hAnsi="仿宋" w:cs="宋体" w:hint="eastAsia"/>
                <w:color w:val="000000"/>
                <w:kern w:val="0"/>
                <w:sz w:val="29"/>
                <w:szCs w:val="29"/>
              </w:rPr>
              <w:t>林业</w:t>
            </w:r>
          </w:p>
        </w:tc>
        <w:tc>
          <w:tcPr>
            <w:tcW w:w="19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35</w:t>
            </w:r>
          </w:p>
        </w:tc>
      </w:tr>
      <w:tr w:rsidR="00184CE2" w:rsidRPr="00184CE2" w:rsidTr="00184CE2">
        <w:trPr>
          <w:trHeight w:val="495"/>
          <w:jc w:val="center"/>
        </w:trPr>
        <w:tc>
          <w:tcPr>
            <w:tcW w:w="46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left"/>
              <w:rPr>
                <w:rFonts w:ascii="宋体" w:eastAsia="宋体" w:hAnsi="宋体" w:cs="宋体"/>
                <w:kern w:val="0"/>
                <w:szCs w:val="21"/>
              </w:rPr>
            </w:pPr>
            <w:r w:rsidRPr="00184CE2">
              <w:rPr>
                <w:rFonts w:ascii="仿宋" w:eastAsia="仿宋" w:hAnsi="仿宋" w:cs="宋体" w:hint="eastAsia"/>
                <w:color w:val="000000"/>
                <w:kern w:val="0"/>
                <w:sz w:val="29"/>
                <w:szCs w:val="29"/>
              </w:rPr>
              <w:t>农艺与种业</w:t>
            </w:r>
          </w:p>
        </w:tc>
        <w:tc>
          <w:tcPr>
            <w:tcW w:w="19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7</w:t>
            </w:r>
          </w:p>
        </w:tc>
      </w:tr>
      <w:tr w:rsidR="00184CE2" w:rsidRPr="00184CE2" w:rsidTr="00184CE2">
        <w:trPr>
          <w:trHeight w:val="495"/>
          <w:jc w:val="center"/>
        </w:trPr>
        <w:tc>
          <w:tcPr>
            <w:tcW w:w="46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ind w:firstLine="1125"/>
              <w:jc w:val="left"/>
              <w:rPr>
                <w:rFonts w:ascii="宋体" w:eastAsia="宋体" w:hAnsi="宋体" w:cs="宋体"/>
                <w:kern w:val="0"/>
                <w:szCs w:val="21"/>
              </w:rPr>
            </w:pPr>
            <w:r w:rsidRPr="00184CE2">
              <w:rPr>
                <w:rFonts w:ascii="仿宋" w:eastAsia="仿宋" w:hAnsi="仿宋" w:cs="宋体" w:hint="eastAsia"/>
                <w:color w:val="000000"/>
                <w:kern w:val="0"/>
                <w:sz w:val="29"/>
                <w:szCs w:val="29"/>
              </w:rPr>
              <w:t>风景园林(非全日制，不设方向)</w:t>
            </w:r>
          </w:p>
        </w:tc>
        <w:tc>
          <w:tcPr>
            <w:tcW w:w="19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184CE2" w:rsidRPr="00184CE2" w:rsidRDefault="00184CE2" w:rsidP="00184CE2">
            <w:pPr>
              <w:widowControl/>
              <w:spacing w:line="315" w:lineRule="atLeast"/>
              <w:jc w:val="center"/>
              <w:rPr>
                <w:rFonts w:ascii="宋体" w:eastAsia="宋体" w:hAnsi="宋体" w:cs="宋体"/>
                <w:kern w:val="0"/>
                <w:szCs w:val="21"/>
              </w:rPr>
            </w:pPr>
            <w:r w:rsidRPr="00184CE2">
              <w:rPr>
                <w:rFonts w:ascii="仿宋" w:eastAsia="仿宋" w:hAnsi="仿宋" w:cs="宋体" w:hint="eastAsia"/>
                <w:color w:val="000000"/>
                <w:kern w:val="0"/>
                <w:sz w:val="29"/>
                <w:szCs w:val="29"/>
              </w:rPr>
              <w:t>9</w:t>
            </w:r>
          </w:p>
        </w:tc>
      </w:tr>
    </w:tbl>
    <w:p w:rsidR="00184CE2" w:rsidRPr="00184CE2" w:rsidRDefault="00184CE2" w:rsidP="00184CE2">
      <w:pPr>
        <w:widowControl/>
        <w:shd w:val="clear" w:color="auto" w:fill="EEEEEE"/>
        <w:wordWrap w:val="0"/>
        <w:spacing w:line="315" w:lineRule="atLeast"/>
        <w:ind w:firstLine="555"/>
        <w:jc w:val="left"/>
        <w:rPr>
          <w:rFonts w:ascii="Verdana" w:eastAsia="宋体" w:hAnsi="Verdana" w:cs="宋体"/>
          <w:color w:val="000000"/>
          <w:kern w:val="0"/>
          <w:szCs w:val="21"/>
        </w:rPr>
      </w:pPr>
      <w:r w:rsidRPr="00184CE2">
        <w:rPr>
          <w:rFonts w:ascii="Verdana" w:eastAsia="宋体" w:hAnsi="Verdana" w:cs="宋体"/>
          <w:color w:val="000000"/>
          <w:kern w:val="0"/>
          <w:szCs w:val="21"/>
        </w:rPr>
        <w:t>  </w:t>
      </w:r>
    </w:p>
    <w:p w:rsidR="00184CE2" w:rsidRPr="00184CE2" w:rsidRDefault="00184CE2" w:rsidP="00184CE2">
      <w:pPr>
        <w:widowControl/>
        <w:shd w:val="clear" w:color="auto" w:fill="EEEEEE"/>
        <w:wordWrap w:val="0"/>
        <w:spacing w:line="315" w:lineRule="atLeast"/>
        <w:ind w:firstLine="555"/>
        <w:jc w:val="righ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lastRenderedPageBreak/>
        <w:t>林学与风景园林学院</w:t>
      </w:r>
    </w:p>
    <w:p w:rsidR="00184CE2" w:rsidRPr="00184CE2" w:rsidRDefault="00184CE2" w:rsidP="00184CE2">
      <w:pPr>
        <w:widowControl/>
        <w:shd w:val="clear" w:color="auto" w:fill="EEEEEE"/>
        <w:wordWrap w:val="0"/>
        <w:spacing w:line="315" w:lineRule="atLeast"/>
        <w:ind w:firstLine="555"/>
        <w:jc w:val="right"/>
        <w:rPr>
          <w:rFonts w:ascii="Verdana" w:eastAsia="宋体" w:hAnsi="Verdana" w:cs="宋体"/>
          <w:color w:val="000000"/>
          <w:kern w:val="0"/>
          <w:szCs w:val="21"/>
        </w:rPr>
      </w:pPr>
      <w:r w:rsidRPr="00184CE2">
        <w:rPr>
          <w:rFonts w:ascii="仿宋" w:eastAsia="仿宋" w:hAnsi="仿宋" w:cs="宋体" w:hint="eastAsia"/>
          <w:color w:val="000000"/>
          <w:kern w:val="0"/>
          <w:sz w:val="29"/>
          <w:szCs w:val="29"/>
        </w:rPr>
        <w:t>2019年3月24日</w:t>
      </w:r>
    </w:p>
    <w:p w:rsidR="003D0E5C" w:rsidRDefault="003D0E5C"/>
    <w:sectPr w:rsidR="003D0E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E5C" w:rsidRDefault="003D0E5C" w:rsidP="00184CE2">
      <w:r>
        <w:separator/>
      </w:r>
    </w:p>
  </w:endnote>
  <w:endnote w:type="continuationSeparator" w:id="1">
    <w:p w:rsidR="003D0E5C" w:rsidRDefault="003D0E5C" w:rsidP="00184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E5C" w:rsidRDefault="003D0E5C" w:rsidP="00184CE2">
      <w:r>
        <w:separator/>
      </w:r>
    </w:p>
  </w:footnote>
  <w:footnote w:type="continuationSeparator" w:id="1">
    <w:p w:rsidR="003D0E5C" w:rsidRDefault="003D0E5C" w:rsidP="00184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CE2"/>
    <w:rsid w:val="00184CE2"/>
    <w:rsid w:val="003D0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4C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CE2"/>
    <w:rPr>
      <w:sz w:val="18"/>
      <w:szCs w:val="18"/>
    </w:rPr>
  </w:style>
  <w:style w:type="paragraph" w:styleId="a4">
    <w:name w:val="footer"/>
    <w:basedOn w:val="a"/>
    <w:link w:val="Char0"/>
    <w:uiPriority w:val="99"/>
    <w:semiHidden/>
    <w:unhideWhenUsed/>
    <w:rsid w:val="00184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CE2"/>
    <w:rPr>
      <w:sz w:val="18"/>
      <w:szCs w:val="18"/>
    </w:rPr>
  </w:style>
  <w:style w:type="character" w:customStyle="1" w:styleId="1Char">
    <w:name w:val="标题 1 Char"/>
    <w:basedOn w:val="a0"/>
    <w:link w:val="1"/>
    <w:uiPriority w:val="9"/>
    <w:rsid w:val="00184CE2"/>
    <w:rPr>
      <w:rFonts w:ascii="宋体" w:eastAsia="宋体" w:hAnsi="宋体" w:cs="宋体"/>
      <w:b/>
      <w:bCs/>
      <w:kern w:val="36"/>
      <w:sz w:val="48"/>
      <w:szCs w:val="48"/>
    </w:rPr>
  </w:style>
  <w:style w:type="character" w:customStyle="1" w:styleId="wpvisitcount">
    <w:name w:val="wp_visitcount"/>
    <w:basedOn w:val="a0"/>
    <w:rsid w:val="00184CE2"/>
  </w:style>
  <w:style w:type="character" w:styleId="a5">
    <w:name w:val="Hyperlink"/>
    <w:basedOn w:val="a0"/>
    <w:uiPriority w:val="99"/>
    <w:semiHidden/>
    <w:unhideWhenUsed/>
    <w:rsid w:val="00184CE2"/>
    <w:rPr>
      <w:color w:val="0000FF"/>
      <w:u w:val="single"/>
    </w:rPr>
  </w:style>
  <w:style w:type="paragraph" w:styleId="a6">
    <w:name w:val="Normal (Web)"/>
    <w:basedOn w:val="a"/>
    <w:uiPriority w:val="99"/>
    <w:unhideWhenUsed/>
    <w:rsid w:val="00184CE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84CE2"/>
    <w:rPr>
      <w:b/>
      <w:bCs/>
    </w:rPr>
  </w:style>
</w:styles>
</file>

<file path=word/webSettings.xml><?xml version="1.0" encoding="utf-8"?>
<w:webSettings xmlns:r="http://schemas.openxmlformats.org/officeDocument/2006/relationships" xmlns:w="http://schemas.openxmlformats.org/wordprocessingml/2006/main">
  <w:divs>
    <w:div w:id="7565758">
      <w:bodyDiv w:val="1"/>
      <w:marLeft w:val="0"/>
      <w:marRight w:val="0"/>
      <w:marTop w:val="0"/>
      <w:marBottom w:val="0"/>
      <w:divBdr>
        <w:top w:val="none" w:sz="0" w:space="0" w:color="auto"/>
        <w:left w:val="none" w:sz="0" w:space="0" w:color="auto"/>
        <w:bottom w:val="none" w:sz="0" w:space="0" w:color="auto"/>
        <w:right w:val="none" w:sz="0" w:space="0" w:color="auto"/>
      </w:divBdr>
      <w:divsChild>
        <w:div w:id="523521682">
          <w:marLeft w:val="0"/>
          <w:marRight w:val="0"/>
          <w:marTop w:val="0"/>
          <w:marBottom w:val="225"/>
          <w:divBdr>
            <w:top w:val="none" w:sz="0" w:space="0" w:color="auto"/>
            <w:left w:val="none" w:sz="0" w:space="0" w:color="auto"/>
            <w:bottom w:val="none" w:sz="0" w:space="0" w:color="auto"/>
            <w:right w:val="none" w:sz="0" w:space="0" w:color="auto"/>
          </w:divBdr>
        </w:div>
        <w:div w:id="1499537534">
          <w:marLeft w:val="0"/>
          <w:marRight w:val="0"/>
          <w:marTop w:val="300"/>
          <w:marBottom w:val="300"/>
          <w:divBdr>
            <w:top w:val="none" w:sz="0" w:space="0" w:color="auto"/>
            <w:left w:val="none" w:sz="0" w:space="0" w:color="auto"/>
            <w:bottom w:val="single" w:sz="6" w:space="11" w:color="F0F0F0"/>
            <w:right w:val="none" w:sz="0" w:space="0" w:color="auto"/>
          </w:divBdr>
        </w:div>
        <w:div w:id="1915779267">
          <w:marLeft w:val="0"/>
          <w:marRight w:val="0"/>
          <w:marTop w:val="0"/>
          <w:marBottom w:val="0"/>
          <w:divBdr>
            <w:top w:val="none" w:sz="0" w:space="0" w:color="auto"/>
            <w:left w:val="none" w:sz="0" w:space="0" w:color="auto"/>
            <w:bottom w:val="none" w:sz="0" w:space="0" w:color="auto"/>
            <w:right w:val="none" w:sz="0" w:space="0" w:color="auto"/>
          </w:divBdr>
          <w:divsChild>
            <w:div w:id="1442601836">
              <w:marLeft w:val="0"/>
              <w:marRight w:val="0"/>
              <w:marTop w:val="0"/>
              <w:marBottom w:val="0"/>
              <w:divBdr>
                <w:top w:val="none" w:sz="0" w:space="0" w:color="auto"/>
                <w:left w:val="none" w:sz="0" w:space="0" w:color="auto"/>
                <w:bottom w:val="none" w:sz="0" w:space="0" w:color="auto"/>
                <w:right w:val="none" w:sz="0" w:space="0" w:color="auto"/>
              </w:divBdr>
              <w:divsChild>
                <w:div w:id="4944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477</Words>
  <Characters>2719</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2019-03-29T09:26:00Z</dcterms:created>
  <dcterms:modified xsi:type="dcterms:W3CDTF">2019-03-29T09:26:00Z</dcterms:modified>
</cp:coreProperties>
</file>