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Cs w:val="28"/>
        </w:rPr>
      </w:pPr>
      <w:r>
        <w:rPr>
          <w:rFonts w:hint="eastAsia" w:ascii="方正小标宋简体" w:hAnsi="方正小标宋简体" w:eastAsia="方正小标宋简体" w:cs="方正小标宋简体"/>
          <w:szCs w:val="28"/>
        </w:rPr>
        <w:t>广东省2021年研考健康信息申报表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姓名（签名）：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>身份证号码：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准考证号码：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 xml:space="preserve"> 联系电话：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  </w:t>
      </w:r>
    </w:p>
    <w:tbl>
      <w:tblPr>
        <w:tblStyle w:val="2"/>
        <w:tblW w:w="100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 xml:space="preserve">注: </w:t>
      </w:r>
    </w:p>
    <w:p>
      <w:pPr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1.考生须认真、如实申报相关内容。出现感冒样症状，喘憋、呼吸急促，恶心呕吐、腹泻，心慌、胸闷，结膜炎以及其他异常的须如实填写信息情况。</w:t>
      </w:r>
    </w:p>
    <w:p>
      <w:pPr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2.考生应自行打印、填写本申报表，并在接受考前检查时向考点工作人员提供。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2020-12-08T02:53:08Z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