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spacing w:lineRule="auto" w:line="360"/>
        <w:rPr>
          <w:rFonts w:cs="Times New Roman" w:eastAsia="宋体"/>
          <w:sz w:val="32"/>
          <w:szCs w:val="32"/>
        </w:rPr>
      </w:pPr>
      <w:r>
        <w:rPr>
          <w:rFonts w:cs="Times New Roman" w:eastAsia="宋体"/>
          <w:sz w:val="32"/>
          <w:szCs w:val="32"/>
        </w:rPr>
        <w:t>华南农业大学电子工程学院</w:t>
      </w:r>
    </w:p>
    <w:p>
      <w:pPr>
        <w:pStyle w:val="style62"/>
        <w:spacing w:lineRule="auto" w:line="360"/>
        <w:rPr>
          <w:rFonts w:cs="Times New Roman" w:eastAsia="宋体"/>
        </w:rPr>
      </w:pPr>
      <w:r>
        <w:rPr>
          <w:rFonts w:cs="Times New Roman" w:eastAsia="宋体"/>
          <w:sz w:val="32"/>
          <w:szCs w:val="32"/>
        </w:rPr>
        <w:t>20</w:t>
      </w:r>
      <w:r>
        <w:rPr>
          <w:rFonts w:cs="Times New Roman" w:eastAsia="宋体" w:hint="eastAsia"/>
          <w:sz w:val="32"/>
          <w:szCs w:val="32"/>
        </w:rPr>
        <w:t>20</w:t>
      </w:r>
      <w:r>
        <w:rPr>
          <w:rFonts w:cs="Times New Roman" w:eastAsia="宋体"/>
          <w:sz w:val="32"/>
          <w:szCs w:val="32"/>
        </w:rPr>
        <w:t>年博士研究生招生实施细则</w:t>
      </w:r>
    </w:p>
    <w:p>
      <w:pPr>
        <w:pStyle w:val="style0"/>
        <w:ind w:firstLine="560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根据教育部有关文件精神及我校《华南农业大学20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年博士研究生招生简章》的要求，电子工程学院20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年计划招收普通考生和硕博连读考生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名，确切招生人数以学校最终分配给我院的招生总指标数为准。全部考生均通过“申请-考核”制考试方式选拔。</w:t>
      </w:r>
    </w:p>
    <w:bookmarkStart w:id="0" w:name="_GoBack"/>
    <w:bookmarkEnd w:id="0"/>
    <w:p>
      <w:pPr>
        <w:pStyle w:val="style0"/>
        <w:ind w:firstLine="560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现制定</w:t>
      </w:r>
      <w:r>
        <w:rPr>
          <w:rFonts w:ascii="仿宋" w:eastAsia="仿宋" w:hAnsi="仿宋" w:hint="eastAsia"/>
          <w:sz w:val="28"/>
          <w:szCs w:val="28"/>
        </w:rPr>
        <w:t>电子工程学院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年博士生招生</w:t>
      </w:r>
      <w:r>
        <w:rPr>
          <w:rFonts w:ascii="仿宋" w:eastAsia="仿宋" w:hAnsi="仿宋" w:hint="eastAsia"/>
          <w:sz w:val="28"/>
          <w:szCs w:val="28"/>
        </w:rPr>
        <w:t>实施</w:t>
      </w:r>
      <w:r>
        <w:rPr>
          <w:rFonts w:ascii="仿宋" w:eastAsia="仿宋" w:hAnsi="仿宋" w:hint="eastAsia"/>
          <w:sz w:val="28"/>
          <w:szCs w:val="28"/>
        </w:rPr>
        <w:t>细则如下：</w:t>
      </w:r>
    </w:p>
    <w:p>
      <w:pPr>
        <w:pStyle w:val="style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一、培养目标及学制</w:t>
      </w:r>
    </w:p>
    <w:p>
      <w:pPr>
        <w:pStyle w:val="style0"/>
        <w:ind w:firstLine="562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培养目标：</w:t>
      </w:r>
      <w:r>
        <w:rPr>
          <w:rFonts w:ascii="仿宋" w:eastAsia="仿宋" w:hAnsi="仿宋" w:hint="eastAsia"/>
          <w:sz w:val="28"/>
          <w:szCs w:val="28"/>
        </w:rPr>
        <w:t>培养德、智、体全面发展，在本学科中掌握坚实宽广的基础理论和系统深入的专门知识，具有独立从事科学研究工作的能力，在科学或专门技术上做出创造性成果的高级科学专门人才。</w:t>
      </w:r>
    </w:p>
    <w:p>
      <w:pPr>
        <w:pStyle w:val="style0"/>
        <w:ind w:firstLine="562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招生专业：</w:t>
      </w:r>
      <w:r>
        <w:rPr>
          <w:rFonts w:ascii="仿宋" w:eastAsia="仿宋" w:hAnsi="仿宋" w:hint="eastAsia"/>
          <w:sz w:val="28"/>
          <w:szCs w:val="28"/>
        </w:rPr>
        <w:t>农业电气化与自动化。</w:t>
      </w:r>
    </w:p>
    <w:p>
      <w:pPr>
        <w:pStyle w:val="style0"/>
        <w:ind w:firstLine="562" w:firstLineChars="200"/>
        <w:jc w:val="both"/>
        <w:rPr/>
      </w:pPr>
      <w:r>
        <w:rPr>
          <w:rFonts w:ascii="仿宋" w:eastAsia="仿宋" w:hAnsi="仿宋" w:hint="eastAsia"/>
          <w:b/>
          <w:sz w:val="28"/>
          <w:szCs w:val="28"/>
        </w:rPr>
        <w:t>学制：</w:t>
      </w:r>
      <w:r>
        <w:rPr>
          <w:rFonts w:ascii="仿宋" w:eastAsia="仿宋" w:hAnsi="仿宋" w:hint="eastAsia"/>
          <w:sz w:val="28"/>
          <w:szCs w:val="28"/>
        </w:rPr>
        <w:t>三年。</w:t>
      </w:r>
    </w:p>
    <w:p>
      <w:pPr>
        <w:pStyle w:val="style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二、报考条件、报名时间</w:t>
      </w:r>
    </w:p>
    <w:p>
      <w:pPr>
        <w:pStyle w:val="style0"/>
        <w:ind w:firstLine="562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报考条件：</w:t>
      </w:r>
      <w:r>
        <w:rPr>
          <w:rFonts w:ascii="仿宋" w:eastAsia="仿宋" w:hAnsi="仿宋" w:hint="eastAsia"/>
          <w:sz w:val="28"/>
          <w:szCs w:val="28"/>
        </w:rPr>
        <w:t>参照《华南农业大学20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年博士研究生招生简章》执行。</w:t>
      </w:r>
    </w:p>
    <w:p>
      <w:pPr>
        <w:pStyle w:val="style0"/>
        <w:ind w:firstLine="562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报名时间：</w:t>
      </w:r>
      <w:r>
        <w:rPr>
          <w:rFonts w:ascii="仿宋" w:eastAsia="仿宋" w:hAnsi="仿宋" w:hint="eastAsia"/>
          <w:sz w:val="28"/>
          <w:szCs w:val="28"/>
        </w:rPr>
        <w:t>考生在201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年12月10日-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年2月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登录华南农业大学研究生招生信息网（网址http://www. scau.edu.cn/yzb）点击 “博士研究生招生系统（http://202.116.161.9/open/Recruitxlbs/Signin.aspx）自行报名。</w:t>
      </w:r>
      <w:r>
        <w:rPr>
          <w:rFonts w:ascii="仿宋" w:eastAsia="仿宋" w:hAnsi="仿宋" w:hint="eastAsia"/>
          <w:sz w:val="28"/>
          <w:szCs w:val="28"/>
        </w:rPr>
        <w:t>考生报名时不选择报考导师（复选通过后，由学院组织导师和学生互选）。</w:t>
      </w:r>
    </w:p>
    <w:p>
      <w:pPr>
        <w:pStyle w:val="style0"/>
        <w:ind w:firstLine="560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硕博连读考生除网上报名外，还需登陆华南农业大学研究生招生信息网下载填写《华南农业大学20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年硕博连读研究生申请表》。</w:t>
      </w:r>
    </w:p>
    <w:p>
      <w:pPr>
        <w:pStyle w:val="style0"/>
        <w:ind w:firstLine="560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报名前须仔细阅读《华南农业大学20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年博士研究生报名须知》，并按照说明及提示进行操作。</w:t>
      </w:r>
    </w:p>
    <w:p>
      <w:pPr>
        <w:pStyle w:val="style0"/>
        <w:ind w:firstLine="562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提交材料时间和方法：</w:t>
      </w:r>
      <w:r>
        <w:rPr>
          <w:rFonts w:ascii="仿宋" w:eastAsia="仿宋" w:hAnsi="仿宋" w:hint="eastAsia"/>
          <w:sz w:val="28"/>
          <w:szCs w:val="28"/>
        </w:rPr>
        <w:t>请于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日—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日（工作日上班时间），向我校研招办提交（或邮寄）材料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ind w:firstLine="562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邮寄地址：</w:t>
      </w:r>
      <w:r>
        <w:rPr>
          <w:rFonts w:ascii="仿宋" w:eastAsia="仿宋" w:hAnsi="仿宋" w:hint="eastAsia"/>
          <w:sz w:val="28"/>
          <w:szCs w:val="28"/>
        </w:rPr>
        <w:t>广州市天河区五山路483号华南农业大学行政楼研究生院招生办公室，</w:t>
      </w:r>
      <w:r>
        <w:rPr>
          <w:rFonts w:ascii="仿宋" w:eastAsia="仿宋" w:hAnsi="仿宋" w:hint="eastAsia"/>
          <w:sz w:val="28"/>
          <w:szCs w:val="28"/>
        </w:rPr>
        <w:t>注明“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年博士研究生报名</w:t>
      </w:r>
      <w:r>
        <w:rPr>
          <w:rFonts w:ascii="仿宋" w:eastAsia="仿宋" w:hAnsi="仿宋" w:hint="eastAsia"/>
          <w:sz w:val="28"/>
          <w:szCs w:val="28"/>
        </w:rPr>
        <w:t>材料”</w:t>
      </w:r>
      <w:r>
        <w:rPr>
          <w:rFonts w:ascii="仿宋" w:eastAsia="仿宋" w:hAnsi="仿宋" w:hint="eastAsia"/>
          <w:sz w:val="28"/>
          <w:szCs w:val="28"/>
        </w:rPr>
        <w:t>；联系电话：020-85280066；邮编：510642。</w:t>
      </w:r>
    </w:p>
    <w:p>
      <w:pPr>
        <w:pStyle w:val="style0"/>
        <w:ind w:firstLine="562" w:firstLineChars="200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三、外语入学考试</w:t>
      </w:r>
    </w:p>
    <w:p>
      <w:pPr>
        <w:pStyle w:val="style0"/>
        <w:ind w:firstLine="560" w:firstLineChars="2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</w:t>
      </w:r>
      <w:r>
        <w:rPr>
          <w:rFonts w:ascii="仿宋" w:eastAsia="仿宋" w:hAnsi="仿宋" w:hint="eastAsia"/>
          <w:sz w:val="28"/>
          <w:szCs w:val="28"/>
        </w:rPr>
        <w:t>《华南农业大学20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年博士研究生招生简章》</w:t>
      </w:r>
      <w:r>
        <w:rPr>
          <w:rFonts w:ascii="仿宋" w:eastAsia="仿宋" w:hAnsi="仿宋" w:hint="eastAsia"/>
          <w:sz w:val="28"/>
          <w:szCs w:val="28"/>
        </w:rPr>
        <w:t>要求执行。</w:t>
      </w:r>
      <w:r>
        <w:rPr>
          <w:rFonts w:ascii="仿宋" w:eastAsia="仿宋" w:hAnsi="仿宋" w:hint="eastAsia"/>
          <w:sz w:val="28"/>
          <w:szCs w:val="28"/>
        </w:rPr>
        <w:t>不接受日语考生</w:t>
      </w:r>
      <w:r>
        <w:rPr>
          <w:rFonts w:ascii="仿宋" w:eastAsia="仿宋" w:hAnsi="仿宋" w:hint="eastAsia"/>
          <w:sz w:val="28"/>
          <w:szCs w:val="28"/>
        </w:rPr>
        <w:t>报考。</w:t>
      </w:r>
    </w:p>
    <w:p>
      <w:pPr>
        <w:pStyle w:val="style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>
        <w:rPr>
          <w:rFonts w:ascii="黑体" w:eastAsia="黑体" w:hAnsi="黑体" w:hint="eastAsia"/>
          <w:sz w:val="28"/>
          <w:szCs w:val="28"/>
        </w:rPr>
        <w:t>、选拔程序</w:t>
      </w:r>
    </w:p>
    <w:p>
      <w:pPr>
        <w:pStyle w:val="style0"/>
        <w:ind w:firstLine="562" w:firstLineChars="200"/>
        <w:rPr>
          <w:rFonts w:ascii="仿宋" w:cs="Times New Roman" w:eastAsia="仿宋" w:hAnsi="仿宋"/>
          <w:b/>
          <w:sz w:val="28"/>
          <w:szCs w:val="28"/>
        </w:rPr>
      </w:pPr>
      <w:r>
        <w:rPr>
          <w:rFonts w:ascii="仿宋" w:cs="Times New Roman" w:eastAsia="仿宋" w:hAnsi="仿宋" w:hint="eastAsia"/>
          <w:b/>
          <w:sz w:val="28"/>
          <w:szCs w:val="28"/>
        </w:rPr>
        <w:t>（一）报考资格审查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学校</w:t>
      </w:r>
      <w:r>
        <w:rPr>
          <w:rFonts w:ascii="仿宋" w:cs="Times New Roman" w:eastAsia="仿宋" w:hAnsi="仿宋" w:hint="eastAsia"/>
          <w:sz w:val="28"/>
          <w:szCs w:val="28"/>
        </w:rPr>
        <w:t>会同学院</w:t>
      </w:r>
      <w:r>
        <w:rPr>
          <w:rFonts w:ascii="仿宋" w:cs="Times New Roman" w:eastAsia="仿宋" w:hAnsi="仿宋" w:hint="eastAsia"/>
          <w:sz w:val="28"/>
          <w:szCs w:val="28"/>
        </w:rPr>
        <w:t>对考生资料是否齐全、是否符合报考条件要求进行审查。通过资格审查的名单</w:t>
      </w:r>
      <w:r>
        <w:rPr>
          <w:rFonts w:ascii="仿宋" w:cs="Times New Roman" w:eastAsia="仿宋" w:hAnsi="仿宋" w:hint="eastAsia"/>
          <w:sz w:val="28"/>
          <w:szCs w:val="28"/>
        </w:rPr>
        <w:t>由研究生院统一</w:t>
      </w:r>
      <w:r>
        <w:rPr>
          <w:rFonts w:ascii="仿宋" w:cs="Times New Roman" w:eastAsia="仿宋" w:hAnsi="仿宋" w:hint="eastAsia"/>
          <w:sz w:val="28"/>
          <w:szCs w:val="28"/>
        </w:rPr>
        <w:t>公示</w:t>
      </w:r>
      <w:r>
        <w:rPr>
          <w:rFonts w:ascii="仿宋" w:cs="Times New Roman" w:eastAsia="仿宋" w:hAnsi="仿宋" w:hint="eastAsia"/>
          <w:sz w:val="28"/>
          <w:szCs w:val="28"/>
        </w:rPr>
        <w:t>，公示</w:t>
      </w:r>
      <w:r>
        <w:rPr>
          <w:rFonts w:ascii="仿宋" w:cs="Times New Roman" w:eastAsia="仿宋" w:hAnsi="仿宋" w:hint="eastAsia"/>
          <w:sz w:val="28"/>
          <w:szCs w:val="28"/>
        </w:rPr>
        <w:t>无异议后进入</w:t>
      </w:r>
      <w:r>
        <w:rPr>
          <w:rFonts w:ascii="仿宋" w:cs="Times New Roman" w:eastAsia="仿宋" w:hAnsi="仿宋" w:hint="eastAsia"/>
          <w:sz w:val="28"/>
          <w:szCs w:val="28"/>
        </w:rPr>
        <w:t>学院</w:t>
      </w:r>
      <w:r>
        <w:rPr>
          <w:rFonts w:ascii="仿宋" w:cs="Times New Roman" w:eastAsia="仿宋" w:hAnsi="仿宋" w:hint="eastAsia"/>
          <w:sz w:val="28"/>
          <w:szCs w:val="28"/>
        </w:rPr>
        <w:t>初选阶段。</w:t>
      </w:r>
    </w:p>
    <w:p>
      <w:pPr>
        <w:pStyle w:val="style0"/>
        <w:ind w:firstLine="562" w:firstLineChars="200"/>
        <w:rPr>
          <w:rFonts w:ascii="仿宋" w:cs="Times New Roman" w:eastAsia="仿宋" w:hAnsi="仿宋"/>
          <w:b/>
          <w:sz w:val="28"/>
          <w:szCs w:val="28"/>
        </w:rPr>
      </w:pPr>
      <w:r>
        <w:rPr>
          <w:rFonts w:ascii="仿宋" w:cs="Times New Roman" w:eastAsia="仿宋" w:hAnsi="仿宋" w:hint="eastAsia"/>
          <w:b/>
          <w:sz w:val="28"/>
          <w:szCs w:val="28"/>
        </w:rPr>
        <w:t>（二）组织机构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学院成立</w:t>
      </w:r>
      <w:r>
        <w:rPr>
          <w:rFonts w:ascii="仿宋" w:cs="Times New Roman" w:eastAsia="仿宋" w:hAnsi="仿宋" w:hint="eastAsia"/>
          <w:sz w:val="28"/>
          <w:szCs w:val="28"/>
        </w:rPr>
        <w:t>学院</w:t>
      </w:r>
      <w:r>
        <w:rPr>
          <w:rFonts w:ascii="仿宋" w:cs="Times New Roman" w:eastAsia="仿宋" w:hAnsi="仿宋" w:hint="eastAsia"/>
          <w:sz w:val="28"/>
          <w:szCs w:val="28"/>
        </w:rPr>
        <w:t>研究生招生工作领导小组，全面负责博士研究生招生工作。由院长任组长，学院党委书记及分管研究生教育工作的副院长任副组长，其他成员由学院党政班子成员、学院纪检委员、一级学科专业负责人和二级学科专业负责人组成。</w:t>
      </w:r>
    </w:p>
    <w:p>
      <w:pPr>
        <w:pStyle w:val="style0"/>
        <w:ind w:firstLine="562" w:firstLineChars="200"/>
        <w:rPr>
          <w:rFonts w:ascii="仿宋" w:cs="Times New Roman" w:eastAsia="仿宋" w:hAnsi="仿宋"/>
          <w:b/>
          <w:sz w:val="28"/>
          <w:szCs w:val="28"/>
        </w:rPr>
      </w:pPr>
      <w:r>
        <w:rPr>
          <w:rFonts w:ascii="仿宋" w:cs="Times New Roman" w:eastAsia="仿宋" w:hAnsi="仿宋" w:hint="eastAsia"/>
          <w:b/>
          <w:sz w:val="28"/>
          <w:szCs w:val="28"/>
        </w:rPr>
        <w:t>（三）初选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学院</w:t>
      </w:r>
      <w:r>
        <w:rPr>
          <w:rFonts w:ascii="仿宋" w:cs="Times New Roman" w:eastAsia="仿宋" w:hAnsi="仿宋" w:hint="eastAsia"/>
          <w:sz w:val="28"/>
          <w:szCs w:val="28"/>
        </w:rPr>
        <w:t>按招生专业</w:t>
      </w:r>
      <w:r>
        <w:rPr>
          <w:rFonts w:ascii="仿宋" w:cs="Times New Roman" w:eastAsia="仿宋" w:hAnsi="仿宋" w:hint="eastAsia"/>
          <w:sz w:val="28"/>
          <w:szCs w:val="28"/>
        </w:rPr>
        <w:t>组成初选审核学科专家组</w:t>
      </w:r>
      <w:r>
        <w:rPr>
          <w:rFonts w:ascii="仿宋" w:cs="Times New Roman" w:eastAsia="仿宋" w:hAnsi="仿宋" w:hint="eastAsia"/>
          <w:sz w:val="28"/>
          <w:szCs w:val="28"/>
        </w:rPr>
        <w:t>（不少于7人）</w:t>
      </w:r>
      <w:r>
        <w:rPr>
          <w:rFonts w:ascii="仿宋" w:cs="Times New Roman" w:eastAsia="仿宋" w:hAnsi="仿宋" w:hint="eastAsia"/>
          <w:sz w:val="28"/>
          <w:szCs w:val="28"/>
        </w:rPr>
        <w:t>，</w:t>
      </w:r>
      <w:r>
        <w:rPr>
          <w:rFonts w:ascii="仿宋" w:cs="Times New Roman" w:eastAsia="仿宋" w:hAnsi="仿宋" w:hint="eastAsia"/>
          <w:sz w:val="28"/>
          <w:szCs w:val="28"/>
        </w:rPr>
        <w:t>根据考生所提交的申请材料，对其外语能力、科研潜质和基本素质进行初选</w:t>
      </w:r>
      <w:r>
        <w:rPr>
          <w:rFonts w:ascii="仿宋" w:cs="Times New Roman" w:eastAsia="仿宋" w:hAnsi="仿宋" w:hint="eastAsia"/>
          <w:sz w:val="28"/>
          <w:szCs w:val="28"/>
        </w:rPr>
        <w:t>。初选标准为</w:t>
      </w:r>
      <w:r>
        <w:rPr>
          <w:rFonts w:ascii="仿宋" w:cs="Times New Roman" w:eastAsia="仿宋" w:hAnsi="仿宋" w:hint="eastAsia"/>
          <w:sz w:val="28"/>
          <w:szCs w:val="28"/>
        </w:rPr>
        <w:t>满分100分，其中英语能力30分、科研潜质40分、基本素质30分</w:t>
      </w:r>
      <w:r>
        <w:rPr>
          <w:rFonts w:ascii="仿宋" w:cs="Times New Roman" w:eastAsia="仿宋" w:hAnsi="仿宋" w:hint="eastAsia"/>
          <w:sz w:val="28"/>
          <w:szCs w:val="28"/>
        </w:rPr>
        <w:t>。</w:t>
      </w:r>
      <w:r>
        <w:rPr>
          <w:rFonts w:ascii="仿宋" w:cs="Times New Roman" w:eastAsia="仿宋" w:hAnsi="仿宋" w:hint="eastAsia"/>
          <w:sz w:val="28"/>
          <w:szCs w:val="28"/>
        </w:rPr>
        <w:t>实行每位专家独立评分，以学科专业为单位</w:t>
      </w:r>
      <w:r>
        <w:rPr>
          <w:rFonts w:ascii="仿宋" w:cs="Times New Roman" w:eastAsia="仿宋" w:hAnsi="仿宋" w:hint="eastAsia"/>
          <w:sz w:val="28"/>
          <w:szCs w:val="28"/>
        </w:rPr>
        <w:t>，</w:t>
      </w:r>
      <w:r>
        <w:rPr>
          <w:rFonts w:ascii="仿宋" w:cs="Times New Roman" w:eastAsia="仿宋" w:hAnsi="仿宋" w:hint="eastAsia"/>
          <w:sz w:val="28"/>
          <w:szCs w:val="28"/>
        </w:rPr>
        <w:t>去掉最高与最低分，再计算平均</w:t>
      </w:r>
      <w:r>
        <w:rPr>
          <w:rFonts w:ascii="仿宋" w:cs="Times New Roman" w:eastAsia="仿宋" w:hAnsi="仿宋" w:hint="eastAsia"/>
          <w:sz w:val="28"/>
          <w:szCs w:val="28"/>
        </w:rPr>
        <w:t>分，按平均分由高到低排序，且达到60分以上，按差额复试的原则，提出进入复选阶段的考生名单</w:t>
      </w:r>
      <w:r>
        <w:rPr>
          <w:rFonts w:ascii="仿宋" w:cs="Times New Roman" w:eastAsia="仿宋" w:hAnsi="仿宋" w:hint="eastAsia"/>
          <w:sz w:val="28"/>
          <w:szCs w:val="28"/>
        </w:rPr>
        <w:t>。</w:t>
      </w:r>
      <w:r>
        <w:rPr>
          <w:rFonts w:ascii="仿宋" w:cs="Times New Roman" w:eastAsia="仿宋" w:hAnsi="仿宋" w:hint="eastAsia"/>
          <w:sz w:val="28"/>
          <w:szCs w:val="28"/>
        </w:rPr>
        <w:t>进入复选阶段考生人数与录取人数比例不超过2：1。</w:t>
      </w:r>
    </w:p>
    <w:p>
      <w:pPr>
        <w:pStyle w:val="style0"/>
        <w:ind w:firstLine="562" w:firstLineChars="200"/>
        <w:rPr>
          <w:rFonts w:ascii="仿宋" w:cs="Times New Roman" w:eastAsia="仿宋" w:hAnsi="仿宋"/>
          <w:b/>
          <w:sz w:val="28"/>
          <w:szCs w:val="28"/>
        </w:rPr>
      </w:pPr>
      <w:r>
        <w:rPr>
          <w:rFonts w:ascii="仿宋" w:cs="Times New Roman" w:eastAsia="仿宋" w:hAnsi="仿宋" w:hint="eastAsia"/>
          <w:b/>
          <w:sz w:val="28"/>
          <w:szCs w:val="28"/>
        </w:rPr>
        <w:t>（四）复选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复选含笔试和综合面试两部分。主要是对学生的学科背景、专业素质、外语水平、创新精神和能力、科研潜力等方面进行综合考察。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/>
          <w:sz w:val="28"/>
          <w:szCs w:val="28"/>
        </w:rPr>
        <w:t xml:space="preserve">1. </w:t>
      </w:r>
      <w:r>
        <w:rPr>
          <w:rFonts w:ascii="仿宋" w:cs="Times New Roman" w:eastAsia="仿宋" w:hAnsi="仿宋" w:hint="eastAsia"/>
          <w:sz w:val="28"/>
          <w:szCs w:val="28"/>
        </w:rPr>
        <w:t>笔试：对进入复选阶段的考生进行专业能力闭卷笔试。考试时间</w:t>
      </w:r>
      <w:r>
        <w:rPr>
          <w:rFonts w:ascii="仿宋" w:cs="Times New Roman" w:eastAsia="仿宋" w:hAnsi="仿宋" w:hint="eastAsia"/>
          <w:sz w:val="28"/>
          <w:szCs w:val="28"/>
        </w:rPr>
        <w:t>为3</w:t>
      </w:r>
      <w:r>
        <w:rPr>
          <w:rFonts w:ascii="仿宋" w:cs="Times New Roman" w:eastAsia="仿宋" w:hAnsi="仿宋" w:hint="eastAsia"/>
          <w:sz w:val="28"/>
          <w:szCs w:val="28"/>
        </w:rPr>
        <w:t>小时，笔试成绩100分为满分，60分为</w:t>
      </w:r>
      <w:r>
        <w:rPr>
          <w:rFonts w:ascii="仿宋" w:cs="Times New Roman" w:eastAsia="仿宋" w:hAnsi="仿宋" w:hint="eastAsia"/>
          <w:sz w:val="28"/>
          <w:szCs w:val="28"/>
        </w:rPr>
        <w:t>合格线</w:t>
      </w:r>
      <w:r>
        <w:rPr>
          <w:rFonts w:ascii="仿宋" w:cs="Times New Roman" w:eastAsia="仿宋" w:hAnsi="仿宋" w:hint="eastAsia"/>
          <w:sz w:val="28"/>
          <w:szCs w:val="28"/>
        </w:rPr>
        <w:t>。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/>
          <w:sz w:val="28"/>
          <w:szCs w:val="28"/>
        </w:rPr>
        <w:t>2.</w:t>
      </w:r>
      <w:r>
        <w:rPr>
          <w:rFonts w:ascii="仿宋" w:cs="Times New Roman" w:eastAsia="仿宋" w:hAnsi="仿宋" w:hint="eastAsia"/>
          <w:sz w:val="28"/>
          <w:szCs w:val="28"/>
        </w:rPr>
        <w:t>综合面试。学院</w:t>
      </w:r>
      <w:r>
        <w:rPr>
          <w:rFonts w:ascii="仿宋" w:cs="Times New Roman" w:eastAsia="仿宋" w:hAnsi="仿宋" w:hint="eastAsia"/>
          <w:sz w:val="28"/>
          <w:szCs w:val="28"/>
        </w:rPr>
        <w:t>按招生</w:t>
      </w:r>
      <w:r>
        <w:rPr>
          <w:rFonts w:ascii="仿宋" w:cs="Times New Roman" w:eastAsia="仿宋" w:hAnsi="仿宋" w:hint="eastAsia"/>
          <w:sz w:val="28"/>
          <w:szCs w:val="28"/>
        </w:rPr>
        <w:t>专业</w:t>
      </w:r>
      <w:r>
        <w:rPr>
          <w:rFonts w:ascii="仿宋" w:cs="Times New Roman" w:eastAsia="仿宋" w:hAnsi="仿宋" w:hint="eastAsia"/>
          <w:sz w:val="28"/>
          <w:szCs w:val="28"/>
        </w:rPr>
        <w:t>组成复选面试</w:t>
      </w:r>
      <w:r>
        <w:rPr>
          <w:rFonts w:ascii="仿宋" w:cs="Times New Roman" w:eastAsia="仿宋" w:hAnsi="仿宋" w:hint="eastAsia"/>
          <w:sz w:val="28"/>
          <w:szCs w:val="28"/>
        </w:rPr>
        <w:t>专家组</w:t>
      </w:r>
      <w:r>
        <w:rPr>
          <w:rFonts w:ascii="仿宋" w:cs="Times New Roman" w:eastAsia="仿宋" w:hAnsi="仿宋" w:hint="eastAsia"/>
          <w:sz w:val="28"/>
          <w:szCs w:val="28"/>
        </w:rPr>
        <w:t>（不少于7人）</w:t>
      </w:r>
      <w:r>
        <w:rPr>
          <w:rFonts w:ascii="仿宋" w:cs="Times New Roman" w:eastAsia="仿宋" w:hAnsi="仿宋" w:hint="eastAsia"/>
          <w:sz w:val="28"/>
          <w:szCs w:val="28"/>
        </w:rPr>
        <w:t>对考生进行面试。由申请人向面试小组作报告，内容包括个人科研经历和成果介绍、对拟从事研究领域的了解和看法、本人拟进行的研究工作设想及理由等。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面试时考生以PPT形式首先用15分钟时间进行学术报告及研究工作设想，然后考核小组提问。主要考核英文听说能力（30%）、创新能力（20%）、科研潜质（30%）和综合素质（20%）。</w:t>
      </w:r>
      <w:r>
        <w:rPr>
          <w:rFonts w:ascii="仿宋" w:cs="Times New Roman" w:eastAsia="仿宋" w:hAnsi="仿宋" w:hint="eastAsia"/>
          <w:sz w:val="28"/>
          <w:szCs w:val="28"/>
        </w:rPr>
        <w:t>专家</w:t>
      </w:r>
      <w:r>
        <w:rPr>
          <w:rFonts w:ascii="仿宋" w:cs="Times New Roman" w:eastAsia="仿宋" w:hAnsi="仿宋" w:hint="default"/>
          <w:sz w:val="28"/>
          <w:szCs w:val="28"/>
          <w:lang w:val="en-US"/>
        </w:rPr>
        <w:t>现场打分</w:t>
      </w:r>
      <w:r>
        <w:rPr>
          <w:rFonts w:ascii="仿宋" w:cs="Times New Roman" w:eastAsia="仿宋" w:hAnsi="仿宋" w:hint="eastAsia"/>
          <w:sz w:val="28"/>
          <w:szCs w:val="28"/>
        </w:rPr>
        <w:t>，</w:t>
      </w:r>
      <w:r>
        <w:rPr>
          <w:rFonts w:ascii="仿宋" w:cs="Times New Roman" w:eastAsia="仿宋" w:hAnsi="仿宋" w:hint="eastAsia"/>
          <w:sz w:val="28"/>
          <w:szCs w:val="28"/>
        </w:rPr>
        <w:t>去掉最高与最低分，再计算平均分。</w:t>
      </w:r>
      <w:r>
        <w:rPr>
          <w:rFonts w:ascii="仿宋" w:cs="Times New Roman" w:eastAsia="仿宋" w:hAnsi="仿宋" w:hint="eastAsia"/>
          <w:sz w:val="28"/>
          <w:szCs w:val="28"/>
        </w:rPr>
        <w:t>综合面试成绩100分为满分，60分为</w:t>
      </w:r>
      <w:r>
        <w:rPr>
          <w:rFonts w:ascii="仿宋" w:cs="Times New Roman" w:eastAsia="仿宋" w:hAnsi="仿宋" w:hint="eastAsia"/>
          <w:sz w:val="28"/>
          <w:szCs w:val="28"/>
        </w:rPr>
        <w:t>合格线</w:t>
      </w:r>
      <w:r>
        <w:rPr>
          <w:rFonts w:ascii="仿宋" w:cs="Times New Roman" w:eastAsia="仿宋" w:hAnsi="仿宋" w:hint="eastAsia"/>
          <w:sz w:val="28"/>
          <w:szCs w:val="28"/>
        </w:rPr>
        <w:t>。</w:t>
      </w:r>
      <w:r>
        <w:rPr>
          <w:rFonts w:ascii="仿宋" w:cs="Times New Roman" w:eastAsia="仿宋" w:hAnsi="仿宋" w:hint="eastAsia"/>
          <w:sz w:val="28"/>
          <w:szCs w:val="28"/>
        </w:rPr>
        <w:t>每位考生综合面试时间不低于30分钟。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学院确定复选通过名单后，组织导师和学生进行互选，确定拟录取名单。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复选工作的具体安排将提前5天在学院主页公布，复选结束后在学院网页公布复选通过名单</w:t>
      </w:r>
      <w:r>
        <w:rPr>
          <w:rFonts w:ascii="仿宋" w:cs="Times New Roman" w:eastAsia="仿宋" w:hAnsi="仿宋" w:hint="eastAsia"/>
          <w:sz w:val="28"/>
          <w:szCs w:val="28"/>
        </w:rPr>
        <w:t>及拟录取导师</w:t>
      </w:r>
      <w:r>
        <w:rPr>
          <w:rFonts w:ascii="仿宋" w:cs="Times New Roman" w:eastAsia="仿宋" w:hAnsi="仿宋" w:hint="eastAsia"/>
          <w:sz w:val="28"/>
          <w:szCs w:val="28"/>
        </w:rPr>
        <w:t>。</w:t>
      </w:r>
    </w:p>
    <w:p>
      <w:pPr>
        <w:pStyle w:val="style0"/>
        <w:ind w:firstLine="562" w:firstLineChars="200"/>
        <w:rPr>
          <w:rFonts w:ascii="仿宋" w:cs="Times New Roman" w:eastAsia="仿宋" w:hAnsi="仿宋"/>
          <w:b/>
          <w:sz w:val="28"/>
          <w:szCs w:val="28"/>
        </w:rPr>
      </w:pPr>
      <w:r>
        <w:rPr>
          <w:rFonts w:ascii="仿宋" w:cs="Times New Roman" w:eastAsia="仿宋" w:hAnsi="仿宋" w:hint="eastAsia"/>
          <w:b/>
          <w:sz w:val="28"/>
          <w:szCs w:val="28"/>
        </w:rPr>
        <w:t>（五）成绩使用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复选成绩=笔试成绩</w:t>
      </w:r>
      <w:r>
        <w:rPr>
          <w:rFonts w:ascii="仿宋" w:cs="Times New Roman" w:eastAsia="仿宋" w:hAnsi="仿宋" w:hint="eastAsia"/>
          <w:sz w:val="28"/>
          <w:szCs w:val="28"/>
        </w:rPr>
        <w:t>×</w:t>
      </w:r>
      <w:r>
        <w:rPr>
          <w:rFonts w:ascii="仿宋" w:cs="Times New Roman" w:eastAsia="仿宋" w:hAnsi="仿宋" w:hint="eastAsia"/>
          <w:sz w:val="28"/>
          <w:szCs w:val="28"/>
        </w:rPr>
        <w:t>50%+综合面试成绩*50%。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总成绩=初选成绩*30%+复选成绩*70%。</w:t>
      </w:r>
    </w:p>
    <w:p>
      <w:pPr>
        <w:pStyle w:val="style0"/>
        <w:ind w:firstLine="562" w:firstLineChars="200"/>
        <w:rPr>
          <w:rFonts w:ascii="仿宋" w:cs="Times New Roman" w:eastAsia="仿宋" w:hAnsi="仿宋"/>
          <w:b/>
          <w:sz w:val="28"/>
          <w:szCs w:val="28"/>
        </w:rPr>
      </w:pPr>
      <w:r>
        <w:rPr>
          <w:rFonts w:ascii="仿宋" w:cs="Times New Roman" w:eastAsia="仿宋" w:hAnsi="仿宋" w:hint="eastAsia"/>
          <w:b/>
          <w:sz w:val="28"/>
          <w:szCs w:val="28"/>
        </w:rPr>
        <w:t>（六）确定录取名单并公示</w:t>
      </w:r>
    </w:p>
    <w:p>
      <w:pPr>
        <w:pStyle w:val="style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学院按</w:t>
      </w:r>
      <w:r>
        <w:rPr>
          <w:rFonts w:ascii="仿宋" w:cs="Times New Roman" w:eastAsia="仿宋" w:hAnsi="仿宋" w:hint="eastAsia"/>
          <w:sz w:val="28"/>
          <w:szCs w:val="28"/>
        </w:rPr>
        <w:t>招生</w:t>
      </w:r>
      <w:r>
        <w:rPr>
          <w:rFonts w:ascii="仿宋" w:cs="Times New Roman" w:eastAsia="仿宋" w:hAnsi="仿宋" w:hint="eastAsia"/>
          <w:sz w:val="28"/>
          <w:szCs w:val="28"/>
        </w:rPr>
        <w:t>专业初选、笔试、综合面试的总成绩由高到低确定学院拟录取名单，</w:t>
      </w:r>
      <w:r>
        <w:rPr>
          <w:rFonts w:ascii="仿宋" w:cs="Times New Roman" w:eastAsia="仿宋" w:hAnsi="仿宋" w:hint="eastAsia"/>
          <w:sz w:val="28"/>
          <w:szCs w:val="28"/>
        </w:rPr>
        <w:t>并组织招生导师和拟录取考生进行互选，</w:t>
      </w:r>
      <w:r>
        <w:rPr>
          <w:rFonts w:ascii="仿宋" w:cs="Times New Roman" w:eastAsia="仿宋" w:hAnsi="仿宋" w:hint="eastAsia"/>
          <w:sz w:val="28"/>
          <w:szCs w:val="28"/>
        </w:rPr>
        <w:t>研究生院审核后于20</w:t>
      </w:r>
      <w:r>
        <w:rPr>
          <w:rFonts w:ascii="仿宋" w:cs="Times New Roman" w:eastAsia="仿宋" w:hAnsi="仿宋" w:hint="eastAsia"/>
          <w:sz w:val="28"/>
          <w:szCs w:val="28"/>
        </w:rPr>
        <w:t>20</w:t>
      </w:r>
      <w:r>
        <w:rPr>
          <w:rFonts w:ascii="仿宋" w:cs="Times New Roman" w:eastAsia="仿宋" w:hAnsi="仿宋" w:hint="eastAsia"/>
          <w:sz w:val="28"/>
          <w:szCs w:val="28"/>
        </w:rPr>
        <w:t>年5月20日前在校园网上公示，公示后无异议，报学校研究生招生工作领导小组。</w:t>
      </w:r>
    </w:p>
    <w:p>
      <w:pPr>
        <w:pStyle w:val="style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录取为我校非定向生的考生，考生须将人事档案、工资关系等转入华南农业大学，否则将取消录取资格，毕业后双向选择、自主择业。录取为定向生的考生将人事档案、户口、工资关系等留在定向单位，定向单位必须与华南农业大学签订定向培养协议书，毕业后考生按协议书就业。若因提供虚假信息被发现而造成取消考试、录取、入学资格或取消学籍等后果，责任由考生本人自负。</w:t>
      </w:r>
    </w:p>
    <w:p>
      <w:pPr>
        <w:pStyle w:val="style0"/>
        <w:spacing w:lineRule="exact" w:line="560"/>
        <w:ind w:firstLine="560" w:firstLineChars="200"/>
        <w:rPr>
          <w:rFonts w:cs="Times New Roman" w:eastAsia="黑体"/>
          <w:sz w:val="28"/>
          <w:szCs w:val="28"/>
        </w:rPr>
      </w:pPr>
      <w:r>
        <w:rPr>
          <w:rFonts w:cs="Times New Roman" w:eastAsia="黑体" w:hint="eastAsia"/>
          <w:sz w:val="28"/>
          <w:szCs w:val="28"/>
        </w:rPr>
        <w:t>五</w:t>
      </w:r>
      <w:r>
        <w:rPr>
          <w:rFonts w:cs="Times New Roman" w:eastAsia="黑体" w:hint="eastAsia"/>
          <w:sz w:val="28"/>
          <w:szCs w:val="28"/>
        </w:rPr>
        <w:t>、信息公开与监督</w:t>
      </w:r>
    </w:p>
    <w:p>
      <w:pPr>
        <w:pStyle w:val="style0"/>
        <w:spacing w:lineRule="exact" w:line="56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cs="Times New Roman" w:eastAsia="仿宋_GB2312" w:hint="eastAsia"/>
          <w:sz w:val="28"/>
          <w:szCs w:val="28"/>
        </w:rPr>
        <w:t>（</w:t>
      </w:r>
      <w:r>
        <w:rPr>
          <w:rFonts w:ascii="仿宋" w:cs="Times New Roman" w:eastAsia="仿宋" w:hAnsi="仿宋" w:hint="eastAsia"/>
          <w:sz w:val="28"/>
          <w:szCs w:val="28"/>
        </w:rPr>
        <w:t>一）按照教育部信息公开的规定，学校和学院都将通过网站公布博士生招生的相关信息。</w:t>
      </w:r>
    </w:p>
    <w:p>
      <w:pPr>
        <w:pStyle w:val="style0"/>
        <w:spacing w:lineRule="exact" w:line="56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（二）凡对录取结果持有异议的考生或导师，可在公示期间进行申诉。申诉人向</w:t>
      </w:r>
      <w:r>
        <w:rPr>
          <w:rFonts w:ascii="仿宋" w:cs="Times New Roman" w:eastAsia="仿宋" w:hAnsi="仿宋" w:hint="eastAsia"/>
          <w:sz w:val="28"/>
          <w:szCs w:val="28"/>
        </w:rPr>
        <w:t>电子工程</w:t>
      </w:r>
      <w:r>
        <w:rPr>
          <w:rFonts w:ascii="仿宋" w:cs="Times New Roman" w:eastAsia="仿宋" w:hAnsi="仿宋" w:hint="eastAsia"/>
          <w:sz w:val="28"/>
          <w:szCs w:val="28"/>
        </w:rPr>
        <w:t>学院研究生招生</w:t>
      </w:r>
      <w:r>
        <w:rPr>
          <w:rFonts w:ascii="仿宋" w:cs="Times New Roman" w:eastAsia="仿宋" w:hAnsi="仿宋" w:hint="eastAsia"/>
          <w:sz w:val="28"/>
          <w:szCs w:val="28"/>
        </w:rPr>
        <w:t>工作</w:t>
      </w:r>
      <w:r>
        <w:rPr>
          <w:rFonts w:ascii="仿宋" w:cs="Times New Roman" w:eastAsia="仿宋" w:hAnsi="仿宋" w:hint="eastAsia"/>
          <w:sz w:val="28"/>
          <w:szCs w:val="28"/>
        </w:rPr>
        <w:t>领导小组提交书面申诉书及有关证明材料，由学院处理并存档备案；如对学院处理结果不服，可在学院处理结果下达后5个工作日内向华南农业大学研究生院和学校纪检监察部门进行申诉。</w:t>
      </w:r>
    </w:p>
    <w:p>
      <w:pPr>
        <w:pStyle w:val="style0"/>
        <w:spacing w:lineRule="exact" w:line="56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（三）学院设有监督举报电话</w:t>
      </w:r>
    </w:p>
    <w:p>
      <w:pPr>
        <w:pStyle w:val="style0"/>
        <w:spacing w:lineRule="exact" w:line="56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电话： 020-85283</w:t>
      </w:r>
      <w:r>
        <w:rPr>
          <w:rFonts w:ascii="仿宋" w:cs="Times New Roman" w:eastAsia="仿宋" w:hAnsi="仿宋" w:hint="eastAsia"/>
          <w:sz w:val="28"/>
          <w:szCs w:val="28"/>
        </w:rPr>
        <w:t>522</w:t>
      </w:r>
      <w:r>
        <w:rPr>
          <w:rFonts w:ascii="仿宋" w:cs="Times New Roman" w:eastAsia="仿宋" w:hAnsi="仿宋" w:hint="eastAsia"/>
          <w:sz w:val="28"/>
          <w:szCs w:val="28"/>
        </w:rPr>
        <w:t>（学院办公室）；</w:t>
      </w:r>
    </w:p>
    <w:p>
      <w:pPr>
        <w:pStyle w:val="style0"/>
        <w:spacing w:lineRule="exact" w:line="56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E-mail：</w:t>
      </w:r>
      <w:r>
        <w:rPr>
          <w:rFonts w:ascii="仿宋" w:cs="Times New Roman" w:eastAsia="仿宋" w:hAnsi="仿宋"/>
          <w:sz w:val="28"/>
          <w:szCs w:val="28"/>
        </w:rPr>
        <w:t>zwy526</w:t>
      </w:r>
      <w:r>
        <w:rPr>
          <w:rFonts w:ascii="仿宋" w:cs="Times New Roman" w:eastAsia="仿宋" w:hAnsi="仿宋" w:hint="eastAsia"/>
          <w:sz w:val="28"/>
          <w:szCs w:val="28"/>
        </w:rPr>
        <w:t>@scau.edu.cn</w:t>
      </w:r>
      <w:r>
        <w:rPr>
          <w:rFonts w:ascii="仿宋" w:cs="Times New Roman" w:eastAsia="仿宋" w:hAnsi="仿宋" w:hint="eastAsia"/>
          <w:sz w:val="28"/>
          <w:szCs w:val="28"/>
        </w:rPr>
        <w:t>（</w:t>
      </w:r>
      <w:r>
        <w:rPr>
          <w:rFonts w:ascii="仿宋" w:cs="Times New Roman" w:eastAsia="仿宋" w:hAnsi="仿宋" w:hint="eastAsia"/>
          <w:sz w:val="28"/>
          <w:szCs w:val="28"/>
        </w:rPr>
        <w:t>张</w:t>
      </w:r>
      <w:r>
        <w:rPr>
          <w:rFonts w:ascii="仿宋" w:cs="Times New Roman" w:eastAsia="仿宋" w:hAnsi="仿宋" w:hint="eastAsia"/>
          <w:sz w:val="28"/>
          <w:szCs w:val="28"/>
        </w:rPr>
        <w:t>老师）</w:t>
      </w:r>
      <w:r>
        <w:rPr>
          <w:rFonts w:ascii="仿宋" w:cs="Times New Roman" w:eastAsia="仿宋" w:hAnsi="仿宋" w:hint="eastAsia"/>
          <w:sz w:val="28"/>
          <w:szCs w:val="28"/>
        </w:rPr>
        <w:t>。</w:t>
      </w:r>
    </w:p>
    <w:p>
      <w:pPr>
        <w:pStyle w:val="style0"/>
        <w:spacing w:lineRule="exact" w:line="560"/>
        <w:ind w:firstLine="560" w:firstLineChars="200"/>
        <w:rPr>
          <w:rFonts w:cs="Times New Roman" w:eastAsia="黑体"/>
          <w:sz w:val="28"/>
          <w:szCs w:val="28"/>
        </w:rPr>
      </w:pPr>
      <w:r>
        <w:rPr>
          <w:rFonts w:cs="Times New Roman" w:eastAsia="黑体" w:hint="eastAsia"/>
          <w:sz w:val="28"/>
          <w:szCs w:val="28"/>
        </w:rPr>
        <w:t>六</w:t>
      </w:r>
      <w:r>
        <w:rPr>
          <w:rFonts w:cs="Times New Roman" w:eastAsia="黑体" w:hint="eastAsia"/>
          <w:sz w:val="28"/>
          <w:szCs w:val="28"/>
        </w:rPr>
        <w:t>、招生咨询</w:t>
      </w:r>
    </w:p>
    <w:p>
      <w:pPr>
        <w:pStyle w:val="style0"/>
        <w:spacing w:lineRule="exact" w:line="560"/>
        <w:ind w:firstLine="562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b/>
          <w:sz w:val="28"/>
          <w:szCs w:val="28"/>
        </w:rPr>
        <w:t>招生咨询部门：</w:t>
      </w:r>
      <w:r>
        <w:rPr>
          <w:rFonts w:ascii="仿宋" w:cs="Times New Roman" w:eastAsia="仿宋" w:hAnsi="仿宋" w:hint="eastAsia"/>
          <w:sz w:val="28"/>
          <w:szCs w:val="28"/>
        </w:rPr>
        <w:t>华南农业大学电子工程学院；</w:t>
      </w:r>
    </w:p>
    <w:p>
      <w:pPr>
        <w:pStyle w:val="style0"/>
        <w:spacing w:lineRule="exact" w:line="560"/>
        <w:ind w:firstLine="562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b/>
          <w:sz w:val="28"/>
          <w:szCs w:val="28"/>
        </w:rPr>
        <w:t>招生咨询热线：</w:t>
      </w:r>
      <w:r>
        <w:rPr>
          <w:rFonts w:ascii="仿宋" w:cs="Times New Roman" w:eastAsia="仿宋" w:hAnsi="仿宋" w:hint="eastAsia"/>
          <w:sz w:val="28"/>
          <w:szCs w:val="28"/>
        </w:rPr>
        <w:t>020-85283</w:t>
      </w:r>
      <w:r>
        <w:rPr>
          <w:rFonts w:ascii="仿宋" w:cs="Times New Roman" w:eastAsia="仿宋" w:hAnsi="仿宋" w:hint="eastAsia"/>
          <w:sz w:val="28"/>
          <w:szCs w:val="28"/>
        </w:rPr>
        <w:t>522</w:t>
      </w:r>
      <w:r>
        <w:rPr>
          <w:rFonts w:ascii="仿宋" w:cs="Times New Roman" w:eastAsia="仿宋" w:hAnsi="仿宋" w:hint="eastAsia"/>
          <w:sz w:val="28"/>
          <w:szCs w:val="28"/>
        </w:rPr>
        <w:t>（</w:t>
      </w:r>
      <w:r>
        <w:rPr>
          <w:rFonts w:ascii="仿宋" w:cs="Times New Roman" w:eastAsia="仿宋" w:hAnsi="仿宋" w:hint="eastAsia"/>
          <w:sz w:val="28"/>
          <w:szCs w:val="28"/>
        </w:rPr>
        <w:t>张</w:t>
      </w:r>
      <w:r>
        <w:rPr>
          <w:rFonts w:ascii="仿宋" w:cs="Times New Roman" w:eastAsia="仿宋" w:hAnsi="仿宋" w:hint="eastAsia"/>
          <w:sz w:val="28"/>
          <w:szCs w:val="28"/>
        </w:rPr>
        <w:t>老师）；</w:t>
      </w:r>
    </w:p>
    <w:p>
      <w:pPr>
        <w:pStyle w:val="style0"/>
        <w:spacing w:lineRule="exact" w:line="560"/>
        <w:ind w:firstLine="562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b/>
          <w:sz w:val="28"/>
          <w:szCs w:val="28"/>
        </w:rPr>
        <w:t>电子邮件：</w:t>
      </w:r>
      <w:r>
        <w:rPr>
          <w:rFonts w:ascii="仿宋" w:cs="Times New Roman" w:eastAsia="仿宋" w:hAnsi="仿宋"/>
          <w:sz w:val="28"/>
          <w:szCs w:val="28"/>
        </w:rPr>
        <w:t>zwy526</w:t>
      </w:r>
      <w:r>
        <w:rPr>
          <w:rFonts w:ascii="仿宋" w:cs="Times New Roman" w:eastAsia="仿宋" w:hAnsi="仿宋" w:hint="eastAsia"/>
          <w:sz w:val="28"/>
          <w:szCs w:val="28"/>
        </w:rPr>
        <w:t>@scau.edu.cn</w:t>
      </w:r>
      <w:r>
        <w:rPr>
          <w:rFonts w:ascii="仿宋" w:cs="Times New Roman" w:eastAsia="仿宋" w:hAnsi="仿宋" w:hint="eastAsia"/>
          <w:sz w:val="28"/>
          <w:szCs w:val="28"/>
        </w:rPr>
        <w:t>；</w:t>
      </w:r>
    </w:p>
    <w:p>
      <w:pPr>
        <w:pStyle w:val="style0"/>
        <w:spacing w:lineRule="exact" w:line="56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招生专业目录与招生简章请查询华南农业大学研究生招生信息网：http://www.scau.edu.cn/yzb。</w:t>
      </w:r>
    </w:p>
    <w:p>
      <w:pPr>
        <w:pStyle w:val="style0"/>
        <w:spacing w:lineRule="exact" w:line="56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cs="Times New Roman" w:eastAsia="黑体" w:hint="eastAsia"/>
          <w:sz w:val="28"/>
          <w:szCs w:val="28"/>
        </w:rPr>
        <w:t>七</w:t>
      </w:r>
      <w:r>
        <w:rPr>
          <w:rFonts w:cs="Times New Roman" w:eastAsia="黑体" w:hint="eastAsia"/>
          <w:sz w:val="28"/>
          <w:szCs w:val="28"/>
        </w:rPr>
        <w:t>、其他说明</w:t>
      </w:r>
    </w:p>
    <w:p>
      <w:pPr>
        <w:pStyle w:val="style0"/>
        <w:spacing w:lineRule="exact" w:line="560"/>
        <w:ind w:firstLine="560" w:firstLineChars="20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在学院的实施细则中如有未尽事宜，请参照《华南农业大学20</w:t>
      </w:r>
      <w:r>
        <w:rPr>
          <w:rFonts w:ascii="仿宋" w:cs="Times New Roman" w:eastAsia="仿宋" w:hAnsi="仿宋" w:hint="eastAsia"/>
          <w:sz w:val="28"/>
          <w:szCs w:val="28"/>
        </w:rPr>
        <w:t>20</w:t>
      </w:r>
      <w:r>
        <w:rPr>
          <w:rFonts w:ascii="仿宋" w:cs="Times New Roman" w:eastAsia="仿宋" w:hAnsi="仿宋" w:hint="eastAsia"/>
          <w:sz w:val="28"/>
          <w:szCs w:val="28"/>
        </w:rPr>
        <w:t>年博士研究生招生简章》及有关文件或通知</w:t>
      </w:r>
      <w:r>
        <w:rPr>
          <w:rFonts w:ascii="仿宋" w:cs="Times New Roman" w:eastAsia="仿宋" w:hAnsi="仿宋" w:hint="eastAsia"/>
          <w:sz w:val="28"/>
          <w:szCs w:val="28"/>
        </w:rPr>
        <w:t>执行</w:t>
      </w:r>
      <w:r>
        <w:rPr>
          <w:rFonts w:ascii="仿宋" w:cs="Times New Roman" w:eastAsia="仿宋" w:hAnsi="仿宋" w:hint="eastAsia"/>
          <w:sz w:val="28"/>
          <w:szCs w:val="28"/>
        </w:rPr>
        <w:t>。</w:t>
      </w:r>
    </w:p>
    <w:p>
      <w:pPr>
        <w:pStyle w:val="style0"/>
        <w:spacing w:lineRule="exact" w:line="560"/>
        <w:ind w:firstLine="560" w:firstLineChars="200"/>
        <w:rPr>
          <w:rFonts w:ascii="仿宋" w:cs="Times New Roman" w:eastAsia="仿宋" w:hAnsi="仿宋"/>
          <w:sz w:val="28"/>
          <w:szCs w:val="28"/>
        </w:rPr>
      </w:pPr>
    </w:p>
    <w:p>
      <w:pPr>
        <w:pStyle w:val="style0"/>
        <w:ind w:left="3600" w:right="960" w:firstLine="72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华南农业大学</w:t>
      </w:r>
      <w:r>
        <w:rPr>
          <w:rFonts w:ascii="仿宋" w:cs="Times New Roman" w:eastAsia="仿宋" w:hAnsi="仿宋" w:hint="eastAsia"/>
          <w:sz w:val="28"/>
          <w:szCs w:val="28"/>
        </w:rPr>
        <w:t>电子</w:t>
      </w:r>
      <w:r>
        <w:rPr>
          <w:rFonts w:ascii="仿宋" w:cs="Times New Roman" w:eastAsia="仿宋" w:hAnsi="仿宋" w:hint="eastAsia"/>
          <w:sz w:val="28"/>
          <w:szCs w:val="28"/>
        </w:rPr>
        <w:t>工程学院</w:t>
      </w:r>
    </w:p>
    <w:p>
      <w:pPr>
        <w:pStyle w:val="style0"/>
        <w:ind w:left="3600" w:right="960" w:firstLine="720"/>
        <w:rPr>
          <w:rFonts w:ascii="仿宋" w:cs="Times New Roman" w:eastAsia="仿宋" w:hAnsi="仿宋"/>
          <w:sz w:val="28"/>
          <w:szCs w:val="28"/>
        </w:rPr>
      </w:pPr>
      <w:r>
        <w:rPr>
          <w:rFonts w:ascii="仿宋" w:cs="Times New Roman" w:eastAsia="仿宋" w:hAnsi="仿宋" w:hint="eastAsia"/>
          <w:sz w:val="28"/>
          <w:szCs w:val="28"/>
        </w:rPr>
        <w:t>二〇一</w:t>
      </w:r>
      <w:r>
        <w:rPr>
          <w:rFonts w:ascii="仿宋" w:cs="Times New Roman" w:eastAsia="仿宋" w:hAnsi="仿宋" w:hint="eastAsia"/>
          <w:sz w:val="28"/>
          <w:szCs w:val="28"/>
        </w:rPr>
        <w:t>九</w:t>
      </w:r>
      <w:r>
        <w:rPr>
          <w:rFonts w:ascii="仿宋" w:cs="Times New Roman" w:eastAsia="仿宋" w:hAnsi="仿宋" w:hint="eastAsia"/>
          <w:sz w:val="28"/>
          <w:szCs w:val="28"/>
        </w:rPr>
        <w:t>年十</w:t>
      </w:r>
      <w:r>
        <w:rPr>
          <w:rFonts w:ascii="仿宋" w:cs="Times New Roman" w:eastAsia="仿宋" w:hAnsi="仿宋" w:hint="eastAsia"/>
          <w:sz w:val="28"/>
          <w:szCs w:val="28"/>
        </w:rPr>
        <w:t>一</w:t>
      </w:r>
      <w:r>
        <w:rPr>
          <w:rFonts w:ascii="仿宋" w:cs="Times New Roman" w:eastAsia="仿宋" w:hAnsi="仿宋" w:hint="eastAsia"/>
          <w:sz w:val="28"/>
          <w:szCs w:val="28"/>
        </w:rPr>
        <w:t>月</w:t>
      </w:r>
      <w:r>
        <w:rPr>
          <w:rFonts w:ascii="仿宋" w:cs="Times New Roman" w:eastAsia="仿宋" w:hAnsi="仿宋" w:hint="eastAsia"/>
          <w:sz w:val="28"/>
          <w:szCs w:val="28"/>
        </w:rPr>
        <w:t>二十</w:t>
      </w:r>
      <w:r>
        <w:rPr>
          <w:rFonts w:ascii="仿宋" w:cs="Times New Roman" w:eastAsia="仿宋" w:hAnsi="仿宋" w:hint="eastAsia"/>
          <w:sz w:val="28"/>
          <w:szCs w:val="28"/>
        </w:rPr>
        <w:t>五</w:t>
      </w:r>
      <w:r>
        <w:rPr>
          <w:rFonts w:ascii="仿宋" w:cs="Times New Roman" w:eastAsia="仿宋" w:hAnsi="仿宋" w:hint="eastAsia"/>
          <w:sz w:val="28"/>
          <w:szCs w:val="28"/>
        </w:rPr>
        <w:t>日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华文宋体">
    <w:altName w:val="华文宋体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0FA15D4"/>
    <w:lvl w:ilvl="0" w:tplc="24C4CA2C">
      <w:start w:val="1"/>
      <w:numFmt w:val="japaneseCounting"/>
      <w:lvlText w:val="%1、"/>
      <w:lvlJc w:val="left"/>
      <w:pPr>
        <w:ind w:left="1114" w:hanging="6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34" w:hanging="360"/>
      </w:pPr>
    </w:lvl>
    <w:lvl w:ilvl="2" w:tplc="3C09001B" w:tentative="1">
      <w:start w:val="1"/>
      <w:numFmt w:val="lowerRoman"/>
      <w:lvlText w:val="%3."/>
      <w:lvlJc w:val="right"/>
      <w:pPr>
        <w:ind w:left="2254" w:hanging="180"/>
      </w:pPr>
    </w:lvl>
    <w:lvl w:ilvl="3" w:tplc="3C09000F" w:tentative="1">
      <w:start w:val="1"/>
      <w:numFmt w:val="decimal"/>
      <w:lvlText w:val="%4."/>
      <w:lvlJc w:val="left"/>
      <w:pPr>
        <w:ind w:left="2974" w:hanging="360"/>
      </w:pPr>
    </w:lvl>
    <w:lvl w:ilvl="4" w:tplc="3C090019" w:tentative="1">
      <w:start w:val="1"/>
      <w:numFmt w:val="lowerLetter"/>
      <w:lvlText w:val="%5."/>
      <w:lvlJc w:val="left"/>
      <w:pPr>
        <w:ind w:left="3694" w:hanging="360"/>
      </w:pPr>
    </w:lvl>
    <w:lvl w:ilvl="5" w:tplc="3C09001B" w:tentative="1">
      <w:start w:val="1"/>
      <w:numFmt w:val="lowerRoman"/>
      <w:lvlText w:val="%6."/>
      <w:lvlJc w:val="right"/>
      <w:pPr>
        <w:ind w:left="4414" w:hanging="180"/>
      </w:pPr>
    </w:lvl>
    <w:lvl w:ilvl="6" w:tplc="3C09000F" w:tentative="1">
      <w:start w:val="1"/>
      <w:numFmt w:val="decimal"/>
      <w:lvlText w:val="%7."/>
      <w:lvlJc w:val="left"/>
      <w:pPr>
        <w:ind w:left="5134" w:hanging="360"/>
      </w:pPr>
    </w:lvl>
    <w:lvl w:ilvl="7" w:tplc="3C090019" w:tentative="1">
      <w:start w:val="1"/>
      <w:numFmt w:val="lowerLetter"/>
      <w:lvlText w:val="%8."/>
      <w:lvlJc w:val="left"/>
      <w:pPr>
        <w:ind w:left="5854" w:hanging="360"/>
      </w:pPr>
    </w:lvl>
    <w:lvl w:ilvl="8" w:tplc="3C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  <w:sz w:val="22"/>
        <w:szCs w:val="22"/>
        <w:lang w:val="en-HK" w:bidi="ar-SA" w:eastAsia="zh-C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360"/>
      <w:ind w:firstLine="454"/>
    </w:pPr>
    <w:rPr>
      <w:rFonts w:ascii="Times New Roman" w:eastAsia="华文宋体" w:hAnsi="Times New Roman"/>
      <w:sz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/>
      <w:outlineLvl w:val="0"/>
    </w:pPr>
    <w:rPr>
      <w:rFonts w:cs="宋体"/>
      <w:b/>
      <w:color w:val="2f5496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outlineLvl w:val="1"/>
    </w:pPr>
    <w:rPr>
      <w:rFonts w:cs="宋体"/>
      <w:b/>
      <w:color w:val="2f5496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字符"/>
    <w:basedOn w:val="style65"/>
    <w:next w:val="style4097"/>
    <w:link w:val="style1"/>
    <w:uiPriority w:val="9"/>
    <w:rPr>
      <w:rFonts w:ascii="Times New Roman" w:cs="宋体" w:eastAsia="华文宋体" w:hAnsi="Times New Roman"/>
      <w:b/>
      <w:color w:val="2f5496"/>
      <w:sz w:val="32"/>
      <w:szCs w:val="32"/>
    </w:rPr>
  </w:style>
  <w:style w:type="character" w:customStyle="1" w:styleId="style4098">
    <w:name w:val="标题 2 字符"/>
    <w:basedOn w:val="style65"/>
    <w:next w:val="style4098"/>
    <w:link w:val="style2"/>
    <w:uiPriority w:val="9"/>
    <w:rPr>
      <w:rFonts w:ascii="Times New Roman" w:cs="宋体" w:eastAsia="华文宋体" w:hAnsi="Times New Roman"/>
      <w:b/>
      <w:color w:val="2f5496"/>
      <w:sz w:val="26"/>
      <w:szCs w:val="26"/>
    </w:rPr>
  </w:style>
  <w:style w:type="paragraph" w:styleId="style62">
    <w:name w:val="Title"/>
    <w:basedOn w:val="style0"/>
    <w:next w:val="style0"/>
    <w:link w:val="style4099"/>
    <w:qFormat/>
    <w:uiPriority w:val="10"/>
    <w:pPr>
      <w:spacing w:lineRule="auto" w:line="240"/>
      <w:ind w:firstLine="0"/>
      <w:jc w:val="center"/>
      <w:contextualSpacing/>
    </w:pPr>
    <w:rPr>
      <w:rFonts w:cs="宋体"/>
      <w:b/>
      <w:spacing w:val="-10"/>
      <w:kern w:val="28"/>
      <w:sz w:val="40"/>
      <w:szCs w:val="56"/>
    </w:rPr>
  </w:style>
  <w:style w:type="character" w:customStyle="1" w:styleId="style4099">
    <w:name w:val="标题 字符"/>
    <w:basedOn w:val="style65"/>
    <w:next w:val="style4099"/>
    <w:link w:val="style62"/>
    <w:uiPriority w:val="10"/>
    <w:rPr>
      <w:rFonts w:ascii="Times New Roman" w:cs="宋体" w:eastAsia="华文宋体" w:hAnsi="Times New Roman"/>
      <w:b/>
      <w:spacing w:val="-10"/>
      <w:kern w:val="28"/>
      <w:sz w:val="40"/>
      <w:szCs w:val="56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paragraph" w:styleId="style30">
    <w:name w:val="annotation text"/>
    <w:basedOn w:val="style0"/>
    <w:next w:val="style30"/>
    <w:link w:val="style4100"/>
    <w:uiPriority w:val="99"/>
    <w:pPr/>
  </w:style>
  <w:style w:type="character" w:customStyle="1" w:styleId="style4100">
    <w:name w:val="批注文字 字符"/>
    <w:basedOn w:val="style65"/>
    <w:next w:val="style4100"/>
    <w:link w:val="style30"/>
    <w:uiPriority w:val="99"/>
    <w:rPr>
      <w:rFonts w:ascii="Times New Roman" w:eastAsia="华文宋体" w:hAnsi="Times New Roman"/>
      <w:sz w:val="24"/>
    </w:rPr>
  </w:style>
  <w:style w:type="paragraph" w:styleId="style106">
    <w:name w:val="annotation subject"/>
    <w:basedOn w:val="style30"/>
    <w:next w:val="style30"/>
    <w:link w:val="style4101"/>
    <w:uiPriority w:val="99"/>
    <w:pPr/>
    <w:rPr>
      <w:b/>
      <w:bCs/>
    </w:rPr>
  </w:style>
  <w:style w:type="character" w:customStyle="1" w:styleId="style4101">
    <w:name w:val="批注主题 字符"/>
    <w:basedOn w:val="style4100"/>
    <w:next w:val="style4101"/>
    <w:link w:val="style106"/>
    <w:uiPriority w:val="99"/>
    <w:rPr>
      <w:rFonts w:ascii="Times New Roman" w:eastAsia="华文宋体" w:hAnsi="Times New Roman"/>
      <w:b/>
      <w:bCs/>
      <w:sz w:val="24"/>
    </w:rPr>
  </w:style>
  <w:style w:type="paragraph" w:styleId="style153">
    <w:name w:val="Balloon Text"/>
    <w:basedOn w:val="style0"/>
    <w:next w:val="style153"/>
    <w:link w:val="style4102"/>
    <w:uiPriority w:val="99"/>
    <w:pPr>
      <w:spacing w:lineRule="auto" w:line="240"/>
    </w:pPr>
    <w:rPr>
      <w:sz w:val="18"/>
      <w:szCs w:val="18"/>
    </w:rPr>
  </w:style>
  <w:style w:type="character" w:customStyle="1" w:styleId="style4102">
    <w:name w:val="批注框文本 字符"/>
    <w:basedOn w:val="style65"/>
    <w:next w:val="style4102"/>
    <w:link w:val="style153"/>
    <w:uiPriority w:val="99"/>
    <w:rPr>
      <w:rFonts w:ascii="Times New Roman" w:eastAsia="华文宋体" w:hAnsi="Times New Roman"/>
      <w:sz w:val="18"/>
      <w:szCs w:val="18"/>
    </w:rPr>
  </w:style>
  <w:style w:type="paragraph" w:styleId="style31">
    <w:name w:val="header"/>
    <w:basedOn w:val="style0"/>
    <w:next w:val="style31"/>
    <w:link w:val="style4103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center"/>
    </w:pPr>
    <w:rPr>
      <w:sz w:val="18"/>
      <w:szCs w:val="18"/>
    </w:rPr>
  </w:style>
  <w:style w:type="character" w:customStyle="1" w:styleId="style4103">
    <w:name w:val="页眉 字符"/>
    <w:basedOn w:val="style65"/>
    <w:next w:val="style4103"/>
    <w:link w:val="style31"/>
    <w:uiPriority w:val="99"/>
    <w:rPr>
      <w:rFonts w:ascii="Times New Roman" w:eastAsia="华文宋体" w:hAnsi="Times New Roman"/>
      <w:sz w:val="18"/>
      <w:szCs w:val="18"/>
    </w:rPr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153"/>
        <w:tab w:val="right" w:leader="none" w:pos="8306"/>
      </w:tabs>
      <w:snapToGrid w:val="false"/>
      <w:spacing w:lineRule="auto" w:line="240"/>
    </w:pPr>
    <w:rPr>
      <w:sz w:val="18"/>
      <w:szCs w:val="18"/>
    </w:rPr>
  </w:style>
  <w:style w:type="character" w:customStyle="1" w:styleId="style4104">
    <w:name w:val="页脚 字符"/>
    <w:basedOn w:val="style65"/>
    <w:next w:val="style4104"/>
    <w:link w:val="style32"/>
    <w:uiPriority w:val="99"/>
    <w:rPr>
      <w:rFonts w:ascii="Times New Roman" w:eastAsia="华文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F3FE-1942-442B-B5A6-1BB70938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Words>2175</Words>
  <Pages>5</Pages>
  <Characters>2440</Characters>
  <Application>WPS Office</Application>
  <DocSecurity>0</DocSecurity>
  <Paragraphs>53</Paragraphs>
  <ScaleCrop>false</ScaleCrop>
  <LinksUpToDate>false</LinksUpToDate>
  <CharactersWithSpaces>2444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2018-11-10T03:18:00Z</dcterms:created>
  <dc:creator>Dr. DIAO Yinliang</dc:creator>
  <lastModifiedBy>HMA-AL00</lastModifiedBy>
  <dcterms:modified xsi:type="dcterms:W3CDTF">2019-12-06T11:16:16Z</dcterms:modified>
  <revision>40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